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ST百利</w:t>
        <w:br/>
        <w:t>603959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175 名 ｜ 摸鱼指数 25.2 ｜ V2保壳分 30 ｜ D级 ｜ 全榜第 198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ST百利（603959）投资要点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198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25.2 / 第 175 名（壳便宜分 54）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21.28 亿元 / 4.34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实控人性质(1/12)、S2 股权质押(0/6)、A1 净资产(3/10)、A3 扣非净利润(3/6)、D1 现金流(0/4)、B1 立案/造假(0/10)、B2 审计意见(6/12)、F1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ST百利（603959）当前V2保壳评分 30 分（D级），全榜第 198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603959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ST百利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4.34 元 / 21.28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198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单源出分，榜单分数=报告分数）。ST百利 当前 30 分、D 级，全榜第 198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ST百利（603959）当前V2保壳评分 30 分（D级），全榜第 198 名。安全垫维度：C1面值距离、A2扣非主营收入。公司当前无实控人，治理结构与保壳主导权存在不确定性。重组/预重整正在推进，保壳有实质抓手。市值21.28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ST百利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21.28 亿元，对照壳基准 33.81 亿元（近2年154笔实控权变更市值中位数）：市值/基准 = 63%。处于折价/平价区，并购成本有吸引力或中性。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175 名，摸鱼指数 25.2（壳便宜分 54）。摸鱼指数=50%×V2保壳分+50%×壳便宜分，反映「保壳确定性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面值距离(5/6)、A2 扣非主营收入(12/12)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实控人性质(1/12)、S2 股权质押(0/6)、A1 净资产(3/10)、A3 扣非净利润(3/6)、D1 现金流(0/4)、B1 立案/造假(0/10)、B2 审计意见(6/12)、F1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面值距离(5/6)；A2 扣非主营收入(12/12)。空头逻辑：S1 实控人性质(1/12)；S2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198 名 / 第 175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风险源维度：S1实控人性质、S2股权质押、A1净资产、A3扣非净利润、D1现金流、B1立案/造假、B2审计意见、F1财务趋势、H1司法风险。 重大违法处罚落地（B1=0），总分封顶30分，退市锁定风险极高。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ST百利（603959）=V2评分 30 分/D级/全榜第198名，摸鱼第175名（指数25.2）。C1 面值距离(5/6)、A2 扣非主营收入(12/12)为安全垫，S1 实控人性质(1/12)、S2 股权质押(0/6)、A1 净资产(3/10)、A3 扣非净利润(3/6)、D1 现金流(0/4)、B1 立案/造假(0/10)、B2 审计意见(6/12)、F1 财务趋势(0/4)、H1 司法风险(0/4)为风险源。退市风险高，多通道濒临触发，除非出现实质性重整/纾困进展，否则应谨慎对待。（详见正文九章。）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深度跟读报告｜ST百利（603959）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