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ST福能</w:t>
        <w:br/>
        <w:t>300173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177 名 ｜ 摸鱼指数 24.3 ｜ V2保壳分 30 ｜ D级 ｜ 全榜第 181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ST福能（300173）投资要点</w:t>
      </w:r>
    </w:p>
    <w:p>
      <w:pPr>
        <w:jc w:val="center"/>
      </w:pPr>
      <w:r>
        <w:rPr>
          <w:color w:val="666666"/>
          <w:sz w:val="20"/>
        </w:rPr>
        <w:t>创业板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级（全榜第 181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24.3 / 第 177 名（壳便宜分 51）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24.17 亿元 / 3.29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佛山市人民政府国有资产监督管理委员会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综合评级：D级（30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风险源维度：A3 扣非净利润(3/6)、B1 立案/造假(0/10)、F2 重组纾困(0/6)、F1 财务趋势(0/4)，是主要失分区。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重大违法处罚落地（B1=0），总分封顶30，退市锁定风险极高。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ST福能（300173）当前V2保壳评分 30 分（D级），全榜第 181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300173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ST福能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3.29 元 / 24.17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佛山市人民政府国有资产监督管理委员会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181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单源出分，榜单分数=报告分数）。ST福能 当前 30 分、D 级，全榜第 181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实控人：佛山市人民政府国有资产监督管理委员会（市县国资）。S1 得分 8/12：市县国资实控，有地方国资信用兜底与资源协调能力。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0/10：重大违法处罚落地（立案→处罚全链条），触发封顶（总分≤30）。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风险通道：违法通道、纾困通道——是当前最可能触发退市的路径，需优先跟踪。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ST福能（300173）当前V2保壳评分 30 分（D级），全榜第 181 名。安全垫维度：C1面值距离、S2股权质押、A1净资产、A2扣非主营收入、D1现金流、B2审计意见、H1司法风险。实控人为市县国资（佛山市人民政府国有资产监督管理委员会），地方国资具备一定信用背书与资源协调能力。暂无重组/纾困信号，保壳主要依赖自身经营修复。市值24.17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ST福能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24.17 亿元，对照壳基准 33.81 亿元（近2年154笔实控权变更市值中位数）：市值/基准 = 71%。处于折价/平价区，并购成本有吸引力或中性。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177 名，摸鱼指数 24.3（壳便宜分 51）。摸鱼指数=50%×V2保壳分+50%×壳便宜分，反映「保壳确定性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面值距离(5/6)、S2 股权质押(6/6)、A1 净资产(8/10)、A2 扣非主营收入(12/12)、D1 现金流(4/4)、B2 审计意见(12/12)、H1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A3 扣非净利润(3/6)、B1 立案/造假(0/10)、F2 重组纾困(0/6)、F1 财务趋势(0/4)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面值距离(5/6)；S2 股权质押(6/6)。空头逻辑：A3 扣非净利润(3/6)；B1 立案/造假(0/10)。综合评级见第八章。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181 名 / 第 177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风险源维度：A3扣非净利润、B1立案/造假、F2重组纾困、F1财务趋势。 重大违法处罚落地（B1=0），总分封顶30分，退市锁定风险极高。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ST福能（300173）=V2评分 30 分/D级/全榜第181名，摸鱼第177名（指数24.3）。C1 面值距离(5/6)、S2 股权质押(6/6)、A1 净资产(8/10)、A2 扣非主营收入(12/12)、D1 现金流(4/4)、B2 审计意见(12/12)、H1 司法风险(4/4)为安全垫，A3 扣非净利润(3/6)、B1 立案/造假(0/10)、F2 重组纾困(0/6)、F1 财务趋势(0/4)为风险源。退市风险高，多通道濒临触发，除非出现实质性重整/纾困进展，否则应谨慎对待。（详见正文九章。）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深度跟读报告｜ST福能（300173）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