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ST银江</w:t>
        <w:br/>
        <w:t>300020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179 名 ｜ 摸鱼指数 23.7 ｜ V2保壳分 30 ｜ D级 ｜ 全榜第 196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ST银江（300020）投资要点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196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23.7 / 第 179 名（壳便宜分 49）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27.34 亿元 / 3.44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刘健,王辉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实控人性质(3/12)、A3 扣非净利润(3/6)、D1 现金流(2/4)、B1 立案/造假(0/10)、B2 审计意见(6/12)、F2 重组纾困(0/6)、F1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ST银江（300020）当前V2保壳评分 30 分（D级），全榜第 196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300020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ST银江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3.44 元 / 27.34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刘健,王辉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196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单源出分，榜单分数=报告分数）。ST银江 当前 30 分、D 级，全榜第 196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实控人：刘健,王辉（民企(法人)）。S1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ST银江（300020）当前V2保壳评分 30 分（D级），全榜第 196 名。安全垫维度：C1面值距离、S2股权质押、A1净资产、A2扣非主营收入。实控人为民企(法人)（刘健,王辉），无国资兜底，保壳依赖自身资源与外部资本博弈。暂无重组/纾困信号，保壳主要依赖自身经营修复。市值27.34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ST银江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27.34 亿元，对照壳基准 33.81 亿元（近2年154笔实控权变更市值中位数）：市值/基准 = 81%。处于折价/平价区，并购成本有吸引力或中性。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179 名，摸鱼指数 23.7（壳便宜分 49）。摸鱼指数=50%×V2保壳分+50%×壳便宜分，反映「保壳确定性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面值距离(5/6)、S2 股权质押(6/6)、A1 净资产(10/10)、A2 扣非主营收入(12/12)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实控人性质(3/12)、A3 扣非净利润(3/6)、D1 现金流(2/4)、B1 立案/造假(0/10)、B2 审计意见(6/12)、F2 重组纾困(0/6)、F1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面值距离(5/6)；S2 股权质押(6/6)。空头逻辑：C2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196 名 / 第 179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风险源维度：C2壳价值锚定、S1实控人性质、A3扣非净利润、D1现金流、B1立案/造假、B2审计意见、F2重组纾困、F1财务趋势、H1司法风险。 重大违法处罚落地（B1=0），总分封顶30分，退市锁定风险极高。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ST银江（300020）=V2评分 30 分/D级/全榜第196名，摸鱼第179名（指数23.7）。C1 面值距离(5/6)、S2 股权质押(6/6)、A1 净资产(10/10)、A2 扣非主营收入(12/12)为安全垫，C2 壳价值锚定(4/8)、S1 实控人性质(3/12)、A3 扣非净利润(3/6)、D1 现金流(2/4)、B1 立案/造假(0/10)、B2 审计意见(6/12)、F2 重组纾困(0/6)、F1 财务趋势(0/4)、H1 司法风险(0/4)为风险源。退市风险高，多通道濒临触发，除非出现实质性重整/纾困进展，否则应谨慎对待。（详见正文九章。）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深度跟读报告｜ST银江（300020）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