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ST交昂</w:t>
        <w:br/>
        <w:t>600530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180 名 ｜ 摸鱼指数 23.1 ｜ V2保壳分 30 ｜ D级 ｜ 全榜第 203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ST交昂（600530）投资要点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203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23.1 / 第 180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30.22 亿元 / 3.9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嵇霖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实控人性质(3/12)、A1 净资产(3/10)、A2 扣非主营收入(3/12)、A3 扣非净利润(2/6)、D1 现金流(1/4)、B1 立案/造假(0/10)、B2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ST交昂（600530）当前V2保壳评分 30 分（D级），全榜第 203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600530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ST交昂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3.9 元 / 30.22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嵇霖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203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单源出分，榜单分数=报告分数）。ST交昂 当前 30 分、D 级，全榜第 203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1/4：经营现金流为负，资金链压力大。</w:t>
      </w:r>
    </w:p>
    <w:p>
      <w:r>
        <w:rPr>
          <w:b w:val="0"/>
        </w:rPr>
        <w:t>A3 扣非净利润 2/6：扣非持续亏损，主业亏损面承压。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实控人：嵇霖（民企(个人)）。S1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A13/10、A23/12、A32/6、D11/4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ST交昂（600530）当前V2保壳评分 30 分（D级），全榜第 203 名。安全垫维度：C1面值距离、S2股权质押、H1司法风险。实控人为民企(个人)（嵇霖），无国资兜底，保壳依赖自身资源与外部资本博弈。暂无重组/纾困信号，保壳主要依赖自身经营修复。市值30.22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ST交昂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30.22 亿元，对照壳基准 33.81 亿元（近2年154笔实控权变更市值中位数）：市值/基准 = 89%。处于折价/平价区，并购成本有吸引力或中性。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180 名，摸鱼指数 23.1（壳便宜分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面值距离(5/6)、S2 股权质押(6/6)、H1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实控人性质(3/12)、A1 净资产(3/10)、A2 扣非主营收入(3/12)、A3 扣非净利润(2/6)、D1 现金流(1/4)、B1 立案/造假(0/10)、B2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面值距离(5/6)；S2 股权质押(6/6)。空头逻辑：C2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203 名 / 第 180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风险源维度：C2壳价值锚定、S1实控人性质、A1净资产、A2扣非主营收入、A3扣非净利润、D1现金流、B1立案/造假、B2审计意见、F2重组纾困、F1财务趋势。 营收未达标且扣非亏损，已触及「营收&lt;红线+亏损」财务类退市红线组合。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ST交昂（600530）=V2评分 30 分/D级/全榜第203名，摸鱼第180名（指数23.1）。C1 面值距离(5/6)、S2 股权质押(6/6)、H1 司法风险(4/4)为安全垫，C2 壳价值锚定(4/8)、S1 实控人性质(3/12)、A1 净资产(3/10)、A2 扣非主营收入(3/12)、A3 扣非净利润(2/6)、D1 现金流(1/4)、B1 立案/造假(0/10)、B2 审计意见(6/12)、F2 重组纾困(0/6)、F1 财务趋势(0/4)为风险源。退市风险高，多通道濒临触发，除非出现实质性重整/纾困进展，否则应谨慎对待。（详见正文九章。）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深度跟读报告｜ST交昂（600530）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