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ST派瑞</w:t>
        <w:br/>
        <w:t>300831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192 名 ｜ 摸鱼指数 19.8 ｜ V2保壳分 30 ｜ D级 ｜ 全榜第 170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ST派瑞（300831）投资要点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170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19.8 / 第 192 名（壳便宜分 36）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50.72 亿元 / 15.85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陕西省人民政府国有资产监督管理委员会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壳价值锚定(0/8)、B1 立案/造假(0/10)、B2 审计意见(6/12)、F2 重组纾困(0/6)，是主要失分区。</w:t>
      </w:r>
    </w:p>
    <w:p>
      <w:r>
        <w:rPr>
          <w:b w:val="0"/>
          <w:sz w:val="20"/>
        </w:rPr>
        <w:t>2. 重大违法处罚落地（B1=0），总分封顶30，退市锁定风险极高。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ST派瑞（300831）当前V2保壳评分 30 分（D级），全榜第 170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300831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ST派瑞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15.85 元 / 50.72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陕西省人民政府国有资产监督管理委员会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170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单源出分，榜单分数=报告分数）。ST派瑞 当前 30 分、D 级，全榜第 170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实控人：陕西省人民政府国有资产监督管理委员会（省级国资）。S1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ST派瑞（300831）当前V2保壳评分 30 分（D级），全榜第 170 名。安全垫维度：C1面值距离、S1实控人性质、S2股权质押、A1净资产、A2扣非主营收入、A3扣非净利润、D1现金流、F1财务趋势、H1司法风险。实控人为省级国资（陕西省人民政府国有资产监督管理委员会），具备省级政府信用背书与资源整合能力。暂无重组/纾困信号，保壳主要依赖自身经营修复。市值50.72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ST派瑞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50.72 亿元，对照壳基准 33.81 亿元（近2年154笔实控权变更市值中位数）：市值/基准 = 150%。高于壳基准，壳价不占优，安全边际一般。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192 名，摸鱼指数 19.8（壳便宜分 36）。摸鱼指数=50%×V2保壳分+50%×壳便宜分，反映「保壳确定性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面值距离(6/6)、S1 实控人性质(10/12)、S2 股权质押(6/6)、A1 净资产(8/10)、A2 扣非主营收入(12/12)、A3 扣非净利润(6/6)、D1 现金流(4/4)、F1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壳价值锚定(0/8)、B1 立案/造假(0/10)、B2 审计意见(6/12)、F2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面值距离(6/6)；S1 实控人性质(10/12)。空头逻辑：C2 壳价值锚定(0/8)；B1 立案/造假(0/10)。综合评级见第八章。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170 名 / 第 192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风险源维度：C2壳价值锚定、B1立案/造假、B2审计意见、F2重组纾困。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ST派瑞（300831）=V2评分 30 分/D级/全榜第170名，摸鱼第192名（指数19.8）。C1 面值距离(6/6)、S1 实控人性质(10/12)、S2 股权质押(6/6)、A1 净资产(8/10)、A2 扣非主营收入(12/12)、A3 扣非净利润(6/6)、D1 现金流(4/4)、F1 财务趋势(4/4)、H1 司法风险(4/4)为安全垫，C2 壳价值锚定(0/8)、B1 立案/造假(0/10)、B2 审计意见(6/12)、F2 重组纾困(0/6)为风险源。退市风险高，多通道濒临触发，除非出现实质性重整/纾困进展，否则应谨慎对待。（详见正文九章。）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深度跟读报告｜ST派瑞（300831）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