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ST东尼</w:t>
        <w:br/>
        <w:t>603595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196 名 ｜ 摸鱼指数 18.6 ｜ V2保壳分 30 ｜ D级 ｜ 全榜第 184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ST东尼（603595）投资要点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184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18.6 / 第 196 名（壳便宜分 32）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61.20 亿元 / 26.33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沈晓宇,沈新芳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实控人性质(3/12)、A3 扣非净利润(3/6)、B1 立案/造假(0/10)、F2 重组纾困(0/6)、F1 财务趋势(2/4)，是主要失分区。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重大违法处罚落地（B1=0），总分封顶30，退市锁定风险极高。</w:t>
      </w:r>
    </w:p>
    <w:p>
      <w:r>
        <w:rPr>
          <w:b w:val="0"/>
          <w:sz w:val="20"/>
        </w:rPr>
        <w:t>4.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ST东尼（603595）当前V2保壳评分 30 分（D级），全榜第 184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603595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ST东尼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26.33 元 / 61.20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沈晓宇,沈新芳 / 民企(法人)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184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单源出分，榜单分数=报告分数）。ST东尼 当前 30 分、D 级，全榜第 184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实控人：沈晓宇,沈新芳（民企(法人)）。S1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4/6：质押或冻结存在（历史口径缺失取中性档），控制权有潜在扰动。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风险通道：市场通道、违法通道、股东/治理、纾困通道——是当前最可能触发退市的路径，需优先跟踪。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ST东尼（603595）当前V2保壳评分 30 分（D级），全榜第 184 名。安全垫维度：C1面值距离、A1净资产、A2扣非主营收入、D1现金流、B2审计意见、H1司法风险。实控人为民企(法人)（沈晓宇,沈新芳），无国资兜底，保壳依赖自身资源与外部资本博弈。暂无重组/纾困信号，保壳主要依赖自身经营修复。市值61.20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ST东尼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61.20 亿元，对照壳基准 33.81 亿元（近2年154笔实控权变更市值中位数）：市值/基准 = 181%。高于壳基准，壳价不占优，安全边际一般。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196 名，摸鱼指数 18.6（壳便宜分 32）。摸鱼指数=50%×V2保壳分+50%×壳便宜分，反映「保壳确定性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净资产(10/10)、A2 扣非主营收入(12/12)、D1 现金流(4/4)、B2 审计意见(12/12)、H1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实控人性质(3/12)、A3 扣非净利润(3/6)、B1 立案/造假(0/10)、F2 重组纾困(0/6)、F1 财务趋势(2/4)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净资产(10/10)。空头逻辑：C2 壳价值锚定(0/8)；S1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184 名 / 第 196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风险源维度：C2壳价值锚定、S1实控人性质、A3扣非净利润、B1立案/造假、F2重组纾困、F1财务趋势。 重大违法处罚落地（B1=0），总分封顶30分，退市锁定风险极高。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ST东尼（603595）=V2评分 30 分/D级/全榜第184名，摸鱼第196名（指数18.6）。C1 面值距离(6/6)、A1 净资产(10/10)、A2 扣非主营收入(12/12)、D1 现金流(4/4)、B2 审计意见(12/12)、H1 司法风险(4/4)为安全垫，C2 壳价值锚定(0/8)、S1 实控人性质(3/12)、A3 扣非净利润(3/6)、B1 立案/造假(0/10)、F2 重组纾困(0/6)、F1 财务趋势(2/4)为风险源。退市风险高，多通道濒临触发，除非出现实质性重整/纾困进展，否则应谨慎对待。（详见正文九章。）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深度跟读报告｜ST东尼（603595）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