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ST际华</w:t>
        <w:br/>
        <w:t>601718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198 名 ｜ 摸鱼指数 17.1 ｜ V2保壳分 30 ｜ D级 ｜ 全榜第 173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ST际华（601718）投资要点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17.1 / 第 198 名（壳便宜分 27）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81.55 亿元 / 1.87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国务院国有资产监督管理委员会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壳价值锚定(0/8)、A3 扣非净利润(3/6)、D1 现金流(2/4)、B1 立案/造假(0/10)、B2 审计意见(6/12)、F2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ST际华（601718）当前V2保壳评分 30 分（D级），全榜第 173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601718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ST际华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1.87 元 / 81.55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国务院国有资产监督管理委员会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173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单源出分，榜单分数=报告分数）。ST际华 当前 30 分、D 级，全榜第 173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实控人：国务院国有资产监督管理委员会（央企）。S1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ST际华（601718）当前V2保壳评分 30 分（D级），全榜第 173 名。安全垫维度：S1实控人性质、S2股权质押、A1净资产、A2扣非主营收入、H1司法风险。实控人为央企（国务院国有资产监督管理委员会），国资信用与资源协调能力构成最强保壳兜底。暂无重组/纾困信号，保壳主要依赖自身经营修复。市值81.55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ST际华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81.55 亿元，对照壳基准 33.81 亿元（近2年154笔实控权变更市值中位数）：市值/基准 = 241%。高于壳基准，壳价不占优，安全边际一般。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198 名，摸鱼指数 17.1（壳便宜分 27）。摸鱼指数=50%×V2保壳分+50%×壳便宜分，反映「保壳确定性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股权质押(6/6)、A1 净资产(10/10)、A2 扣非主营收入(12/12)、H1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壳价值锚定(0/8)、A3 扣非净利润(3/6)、D1 现金流(2/4)、B1 立案/造假(0/10)、B2 审计意见(6/12)、F2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股权质押(6/6)。空头逻辑：C1 面值距离(2/6)；C2 壳价值锚定(0/8)。综合评级见第八章。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173 名 / 第 198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风险源维度：C1面值距离、C2壳价值锚定、A3扣非净利润、D1现金流、B1立案/造假、B2审计意见、F2重组纾困、F1财务趋势。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ST际华（601718）=V2评分 30 分/D级/全榜第173名，摸鱼第198名（指数17.1）。S1 实控人性质(10/12)、S2 股权质押(6/6)、A1 净资产(10/10)、A2 扣非主营收入(12/12)、H1 司法风险(4/4)为安全垫，C1 面值距离(2/6)、C2 壳价值锚定(0/8)、A3 扣非净利润(3/6)、D1 现金流(2/4)、B1 立案/造假(0/10)、B2 审计意见(6/12)、F2 重组纾困(0/6)、F1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深度跟读报告｜ST际华（601718）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