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ST应急</w:t>
        <w:br/>
        <w:t>300527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199 名 ｜ 摸鱼指数 16.8 ｜ V2保壳分 30 ｜ D级 ｜ 全榜第 188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ST应急（300527）投资要点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16.8 / 第 199 名（壳便宜分 26）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84.29 亿元 / 8.29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中国船舶集团有限公司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壳价值锚定(0/8)、B1 立案/造假(0/10)、F2 重组纾困(0/6)，是主要失分区。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ST应急（300527）当前V2保壳评分 30 分（D级），全榜第 188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300527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ST应急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8.29 元 / 84.29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中国船舶集团有限公司 / 央企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188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单源出分，榜单分数=报告分数）。ST应急 当前 30 分、D 级，全榜第 188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实控人：中国船舶集团有限公司（央企）。S1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ST应急（300527）当前V2保壳评分 30 分（D级），全榜第 188 名。安全垫维度：C1面值距离、S1实控人性质、S2股权质押、A1净资产、A2扣非主营收入、A3扣非净利润、D1现金流、B2审计意见、F1财务趋势、H1司法风险。实控人为央企（中国船舶集团有限公司），国资信用与资源协调能力构成最强保壳兜底。暂无重组/纾困信号，保壳主要依赖自身经营修复。市值84.29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ST应急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84.29 亿元，对照壳基准 33.81 亿元（近2年154笔实控权变更市值中位数）：市值/基准 = 249%。高于壳基准，壳价不占优，安全边际一般。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199 名，摸鱼指数 16.8（壳便宜分 26）。摸鱼指数=50%×V2保壳分+50%×壳便宜分，反映「保壳确定性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面值距离(6/6)、S1 实控人性质(10/12)、S2 股权质押(6/6)、A1 净资产(10/10)、A2 扣非主营收入(12/12)、A3 扣非净利润(6/6)、D1 现金流(4/4)、B2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壳价值锚定(0/8)、B1 立案/造假(0/10)、F2 重组纾困(0/6)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面值距离(6/6)；S1 实控人性质(10/12)。空头逻辑：C2 壳价值锚定(0/8)；B1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188 名 / 第 199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风险源维度：C2壳价值锚定、B1立案/造假、F2重组纾困。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ST应急（300527）=V2评分 30 分/D级/全榜第188名，摸鱼第199名（指数16.8）。C1 面值距离(6/6)、S1 实控人性质(10/12)、S2 股权质押(6/6)、A1 净资产(10/10)、A2 扣非主营收入(12/12)、A3 扣非净利润(6/6)、D1 现金流(4/4)、B2 审计意见(12/12)、F1 财务趋势(4/4)、H1 司法风险(4/4)为安全垫，C2 壳价值锚定(0/8)、B1 立案/造假(0/10)、F2 重组纾困(0/6)为风险源。退市风险高，多通道濒临触发，除非出现实质性重整/纾困进展，否则应谨慎对待。（详见正文九章。）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深度跟读报告｜ST应急（300527）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