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ST臻镭</w:t>
        <w:br/>
        <w:t>688270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203 名 ｜ 摸鱼指数 12.3 ｜ V2保壳分 30 ｜ D级 ｜ 全榜第 174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ST臻镭（688270）投资要点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12.3 / 第 203 名（壳便宜分 11）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178.72 亿元 / 59.67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郁发新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实控人性质(3/12)、B1 立案/造假(0/10)、F2 重组纾困(2/6)，是主要失分区。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ST臻镭（688270）当前V2保壳评分 30 分（D级），全榜第 174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688270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ST臻镭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59.67 元 / 178.72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郁发新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174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单源出分，榜单分数=报告分数）。ST臻镭 当前 30 分、D 级，全榜第 174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实控人：郁发新（民企(个人)）。S1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ST臻镭（688270）当前V2保壳评分 30 分（D级），全榜第 174 名。安全垫维度：C1面值距离、S2股权质押、A1净资产、A2扣非主营收入、A3扣非净利润、D1现金流、B2审计意见、F1财务趋势、H1司法风险。实控人为民企(个人)（郁发新），无国资兜底，保壳依赖自身资源与外部资本博弈。已有出售资产/债务豁免等保壳动作，但尚未形成重组级信号。市值178.72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ST臻镭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178.72 亿元，对照壳基准 33.81 亿元（近2年154笔实控权变更市值中位数）：市值/基准 = 529%。高于壳基准，壳价不占优，安全边际一般。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203 名，摸鱼指数 12.3（壳便宜分 11）。摸鱼指数=50%×V2保壳分+50%×壳便宜分，反映「保壳确定性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实控人性质(3/12)、B1 立案/造假(0/10)、F2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174 名 / 第 203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风险源维度：C2壳价值锚定、S1实控人性质、B1立案/造假、F2重组纾困。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ST臻镭（688270）=V2评分 30 分/D级/全榜第174名，摸鱼第203名（指数12.3）。C1 面值距离(6/6)、S2 股权质押(6/6)、A1 净资产(10/10)、A2 扣非主营收入(12/12)、A3 扣非净利润(6/6)、D1 现金流(4/4)、B2 审计意见(12/12)、F1 财务趋势(4/4)、H1 司法风险(4/4)为安全垫，C2 壳价值锚定(0/8)、S1 实控人性质(3/12)、B1 立案/造假(0/10)、F2 重组纾困(2/6)为风险源。退市风险高，多通道濒临触发，除非出现实质性重整/纾困进展，否则应谨慎对待。（详见正文九章。）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深度跟读报告｜ST臻镭（688270）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