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ST京蓝</w:t>
        <w:br/>
        <w:t>000711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204 名 ｜ 摸鱼指数 12.0 ｜ V2保壳分 30 ｜ D级 ｜ 全榜第 199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ST京蓝（000711）投资要点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199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12.0 / 第 204 名（壳便宜分 10）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184.59 亿元 / 6.25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马黎阳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实控人性质(3/12)、A3 扣非净利润(3/6)、D1 现金流(0/4)、B1 立案/造假(0/10)，是主要失分区。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ST京蓝（000711）当前V2保壳评分 30 分（D级），全榜第 199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000711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ST京蓝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6.25 元 / 184.59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马黎阳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199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单源出分，榜单分数=报告分数）。ST京蓝 当前 30 分、D 级，全榜第 199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实控人：马黎阳（民企(个人)）。S1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F26/6、F14/4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ST京蓝（000711）当前V2保壳评分 30 分（D级），全榜第 199 名。安全垫维度：C1面值距离、S2股权质押、A1净资产、A2扣非主营收入、B2审计意见、F2重组纾困、F1财务趋势、H1司法风险。实控人为民企(个人)（马黎阳），无国资兜底，保壳依赖自身资源与外部资本博弈。重组/纾困已进入执行或完成阶段，保壳确定性最高。市值184.59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ST京蓝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184.59 亿元，对照壳基准 33.81 亿元（近2年154笔实控权变更市值中位数）：市值/基准 = 546%。高于壳基准，壳价不占优，安全边际一般。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204 名，摸鱼指数 12.0（壳便宜分 10）。摸鱼指数=50%×V2保壳分+50%×壳便宜分，反映「保壳确定性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净资产(8/10)、A2 扣非主营收入(12/12)、B2 审计意见(12/12)、F2 重组纾困(6/6)、F1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实控人性质(3/12)、A3 扣非净利润(3/6)、D1 现金流(0/4)、B1 立案/造假(0/10)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199 名 / 第 204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风险源维度：C2壳价值锚定、S1实控人性质、A3扣非净利润、D1现金流、B1立案/造假。 重大违法处罚落地（B1=0），总分封顶30分，退市锁定风险极高。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ST京蓝（000711）=V2评分 30 分/D级/全榜第199名，摸鱼第204名（指数12.0）。C1 面值距离(6/6)、S2 股权质押(6/6)、A1 净资产(8/10)、A2 扣非主营收入(12/12)、B2 审计意见(12/12)、F2 重组纾困(6/6)、F1 财务趋势(4/4)、H1 司法风险(4/4)为安全垫，C2 壳价值锚定(0/8)、S1 实控人性质(3/12)、A3 扣非净利润(3/6)、D1 现金流(0/4)、B1 立案/造假(0/10)为风险源。退市风险高，多通道濒临触发，除非出现实质性重整/纾困进展，否则应谨慎对待。（详见正文九章。）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深度跟读报告｜ST京蓝（000711）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