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ST龙韵</w:t>
        <w:br/>
        <w:t>603729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 名 ｜ 摸鱼指数 67.5 ｜ V2保壳分 68 ｜ B级 ｜ 全榜第 17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民企(个人)段佩璋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扣非净利润(3/6)、D1 现金流(0/4)、B2 审计意见(6/12)、F2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全池市值第二便宜(10.93亿)，壳便宜分67为前10最高档；营收达标(12)、无立案(10)。极致壳便宜 + 营收达标 = 博弈重组/卖壳预期。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现金流枯竭(D1=0)、民企无国资兜底(S1=3)、微利(A3=3)；市值过低本身意味着主业体量小。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跟读报告｜ST龙韵（603729）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