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*ST海华</w:t>
        <w:br/>
        <w:t>600243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 名 ｜ 摸鱼指数 64.0 ｜ V2保壳分 69 ｜ B级 ｜ 全榜第 14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面值距离(5/6)、C2 壳价值锚定(8/8)、S2 股权质押(6/6)、A1 净资产(8/10)、B1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实控人性质(3/12)、A3 扣非净利润(0/6)、D1 现金流(0/4)、F2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审计满分(12) + 壳价值满分(8) + 无质押(6)。模型note已识别「低毛利收入占50%(冲量嫌疑)」，A2营收仅9分(含金量打折)。靠出售资产/债务豁免维持(2)。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市值≤壳基准5折(并购机会区)；无质押；低毛利收入占50%（冲量嫌疑）；出售资产/债务豁免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扣非亏损(A3=0) + 现金流为负(D1=0) + 营收冲量嫌疑，若重组不落地续亏风险大。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跟读报告｜*ST海华（600243）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