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*ST莫高</w:t>
        <w:br/>
        <w:t>600543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 名 ｜ 摸鱼指数 64.0 ｜ V2保壳分 65 ｜ B级 ｜ 全榜第 26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省级国资(甘肃省国资委)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壳价值锚定(8/8)、S1 实控人性质(10/12)、S2 股权质押(6/6)、A1 净资产(8/10)、B2 审计意见(12/12)、F1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扣非主营收入(3/12)、A3 扣非净利润(0/6)、D1 现金流(0/4)、F2 重组纾困(2/6)、H1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省级国资(10) + 审计满分(12) + 壳便宜(63)。但A2=3：营收缺口38%且已戴*ST——触碰财务类退市红线(营收&lt;3亿+亏损)；H1=0董监高个人被立案/处罚(司法风险归零)。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市值≤壳基准5折(并购机会区)；实控人：甘肃省人民政府国有资产监督管理委员会（省级国资）；无质押；营收缺口38%且已戴*ST；董监高个人被立案/处罚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【全榜唯一触碰财务退市红线者】营收缺口38%是硬伤，需靠出售资产/重组补营收；现金流为负(D1=0)。壳便宜是因为市场已定价退市风险，摸鱼需最高级别谨慎。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跟读报告｜*ST莫高（600543）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