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ST标准</w:t>
        <w:br/>
        <w:t>600302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 名 ｜ 摸鱼指数 63.5 ｜ V2保壳分 74 ｜ A级 ｜ 全榜第 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净资产(8/10)、A2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扣非净利润(3/6)、D1 现金流(0/4)、F2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国资(8) + 营收达标(12) + 审计(9) + 无立案(10)；ST非*ST，保壳压力相对小。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现金流质量差(D1=0)、经营趋势转弱(F1=0)、微利(A3=3)。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跟读报告｜ST标准（600302）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