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*ST准油</w:t>
        <w:br/>
        <w:t>002207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 名 ｜ 摸鱼指数 63.0 ｜ V2保壳分 65 ｜ B级 ｜ 全榜第 28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5.85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市县国资（克拉玛依市国有资产监督管理委员会）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净资产(3/10)、A2 扣非主营收入(6/12)、A3 扣非净利润(0/6)、D1 现金流(0/4)、F2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*ST准油（002207）当前V2保壳评分 65 分（B级），全榜第 28 名。安全垫维度：C1面值距离、C2壳价值锚定、S2股权质押、B1立案/造假、B2审计意见、H1司法风险。实控人为市县国资（克拉玛依市国有资产监督管理委员会），地方国资具备一定信用背书与资源协调能力。暂无重组/纾困信号，保壳主要依赖自身经营修复。市值15.33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市值≤壳基准5折(并购机会区)；营收缺口1%且已戴*ST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风险源维度：A1净资产、A2扣非主营收入、A3扣非净利润、D1现金流、F2重组纾困、F1财务趋势。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跟读报告｜*ST准油（002207）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