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*ST联翔</w:t>
        <w:br/>
        <w:t>603272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17 名 ｜ 摸鱼指数 60.5 ｜ V2保壳分 61 ｜ B级 ｜ 全榜第 43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61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第43名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60.5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60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15.56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15.02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民企(个人)（卜晓华）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市值≤壳基准(33.81亿)的5折，处于并购/借壳成本优势区——壳越便宜，重组方入场成本越低。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无质押/质押比例极低，控制权稳固，无平仓扰动。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营收严重不达标（接近0或微收），财务类退市风险极端。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标准无保留审计意见，审计面干净。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实控人无冻结/限高/立案，司法面无风险。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8/8。市值≤壳基准(33.81亿)的5折，处于并购/借壳成本优势区——壳越便宜，重组方入场成本越低。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6/6。无质押/质押比例极低，控制权稳固，无平仓扰动。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0/12。营收严重不达标（接近0或微收），财务类退市风险极端。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12/12。标准无保留审计意见，审计面干净。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4/4。实控人无冻结/限高/立案，司法面无风险。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面值距离(6/6)、C2 壳价值锚定(8/8)、S2 股权质押(6/6)、A1 净资产(8/10)、D1 现金流(4/4)、B1 立案/造假(10/10)、B2 审计意见(12/12)、H1 司法风险(4/4)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实控人性质(3/12)、A2 扣非主营收入(0/12)、A3 扣非净利润(0/6)、F2 重组纾困(0/6)、F1 财务趋势(0/4)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*ST联翔（603272）当前V2保壳评分 61 分（B级），全榜第 43 名。安全垫维度：C1面值距离、C2壳价值锚定、S2股权质押、A1净资产、D1现金流、B1立案/造假、B2审计意见、H1司法风险。实控人为民企(个人)（卜晓华），无国资兜底，保壳依赖自身资源与外部资本博弈。暂无重组/纾困信号，保壳主要依赖自身经营修复。市值15.56亿，低于基准壳费线33.81亿的5折，壳价便宜，并购重组方入场成本低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市值≤壳基准5折(并购机会区)；无质押；营收缺口58%且已戴*ST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风险源维度：S1实控人性质、A2扣非主营收入、A3扣非净利润、F2重组纾困、F1财务趋势。 营收未达标且扣非亏损，已触及「营收&lt;红线+亏损」财务类退市红线组合。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跟读报告｜*ST联翔（603272）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