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*ST海利</w:t>
        <w:br/>
        <w:t>603718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 名 ｜ 摸鱼指数 60.0 ｜ V2保壳分 65 ｜ B级 ｜ 全榜第 23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3.14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民企(个人)（张海明）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净资产(8/10)、D1 现金流(4/4)、B1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扣非主营收入(3/12)、A3 扣非净利润(0/6)、F2 重组纾困(2/6)、F1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*ST海利（603718）当前V2保壳评分 65 分（B级），全榜第 23 名。安全垫维度：C1面值距离、S2股权质押、A1净资产、D1现金流、B1立案/造假、B2审计意见、H1司法风险。实控人为民企(个人)（张海明），无国资兜底，保壳依赖自身资源与外部资本博弈。已有出售资产/债务豁免等保壳动作，但尚未形成重组级信号。市值20.38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无质押；营收缺口37%且已戴*ST；出售资产/债务豁免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风险源维度：S1实控人性质、A2扣非主营收入、A3扣非净利润、F2重组纾困、F1财务趋势。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跟读报告｜*ST海利（603718）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