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*ST特迅</w:t>
        <w:br/>
        <w:t>002227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 名 ｜ 摸鱼指数 60.0 ｜ V2保壳分 61 ｜ B级 ｜ 全榜第 44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6.71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民企(个人)（廖晓霞）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股权质押(6/6)、A1 净资产(8/10)、B1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实控人性质(3/12)、A2 扣非主营收入(6/12)、A3 扣非净利润(0/6)、D1 现金流(2/4)、B2 审计意见(6/12)、F2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*ST特迅（002227）当前V2保壳评分 61 分（B级），全榜第 44 名。安全垫维度：C1面值距离、C2壳价值锚定、S2股权质押、A1净资产、B1立案/造假、H1司法风险。实控人为民企(个人)（廖晓霞），无国资兜底，保壳依赖自身资源与外部资本博弈。暂无重组/纾困信号，保壳主要依赖自身经营修复。市值16.63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市值≤壳基准5折(并购机会区)；无质押；营收缺口15%且已戴*ST；保留意见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风险源维度：S1实控人性质、A2扣非主营收入、A3扣非净利润、D1现金流、B2审计意见、F2重组纾困、F1财务趋势。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跟读报告｜*ST特迅（002227）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