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*ST冀凯</w:t>
        <w:br/>
        <w:t>002691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20 名 ｜ 摸鱼指数 60.0 ｜ V2保壳分 60 ｜ B级 ｜ 全榜第 47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民企(个人)（冯春保）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壳价值锚定(8/8)、A1 净资产(8/10)、B1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扣非主营收入(6/12)、A3 扣非净利润(0/6)、D1 现金流(0/4)、F2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*ST冀凯（002691）当前V2保壳评分 60 分（B级），全榜第 47 名。安全垫维度：C1面值距离、C2壳价值锚定、A1净资产、B1立案/造假、B2审计意见、H1司法风险。实控人为民企(个人)（冯春保），无国资兜底，保壳依赖自身资源与外部资本博弈。暂无重组/纾困信号，保壳主要依赖自身经营修复。市值15.44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市值≤壳基准5折(并购机会区)；营收缺口4%且已戴*ST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风险源维度：S1实控人性质、A2扣非主营收入、A3扣非净利润、D1现金流、F2重组纾困、F1财务趋势。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跟读报告｜*ST冀凯（002691）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