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ST嘉必优</w:t>
        <w:br/>
        <w:t>688089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22 名 ｜ 摸鱼指数 60.0 ｜ V2保壳分 57 ｜ B级 ｜ 全榜第 63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13.41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8.06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民企(个人)（易德伟）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2/6。扣非持续亏损，主业亏损面承压。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实控人性质(3/12)、A1 净资产(3/10)、A2 扣非主营收入(3/12)、A3 扣非净利润(2/6)、D1 现金流(1/4)、F2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ST嘉必优（688089）当前V2保壳评分 57 分（B级），全榜第 63 名。安全垫维度：C1面值距离、C2壳价值锚定、S2股权质押、B1立案/造假、H1司法风险。实控人为民企(个人)（易德伟），无国资兜底，保壳依赖自身资源与外部资本博弈。已有出售资产/债务豁免等保壳动作，但尚未形成重组级信号。市值13.41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市值≤壳基准5折(并购机会区)；无质押；带强调事项；出售资产/债务豁免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风险源维度：S1实控人性质、A1净资产、A2扣非主营收入、A3扣非净利润、D1现金流、F2重组纾困、F1财务趋势。 营收未达标且扣非亏损，已触及「营收&lt;红线+亏损」财务类退市红线组合。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跟读报告｜ST嘉必优（688089）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