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ST金顶</w:t>
        <w:br/>
        <w:t>600678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26 名 ｜ 摸鱼指数 59.0 ｜ V2保壳分 63 ｜ B级 ｜ 全榜第 31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第31名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59.0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19.96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5.72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市县国资（洛阳市人民政府）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面值距离(6/6)、A2 扣非主营收入(12/12)、B1 立案/造假(10/10)、F1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壳价值锚定(6/8)、S1 实控人性质(8/12)、A1 净资产(6/10)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股权质押(0/6)、A3 扣非净利润(3/6)、D1 现金流(2/4)、B2 审计意见(6/12)、F2 重组纾困(0/6)、H1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ST金顶（600678）当前V2保壳评分 63 分（B级），全榜第 31 名。安全垫维度：C1面值距离、A2扣非主营收入、B1立案/造假、F1财务趋势。实控人为市县国资（洛阳市人民政府），地方国资具备一定信用背书与资源协调能力。暂无重组/纾困信号，保壳主要依赖自身经营修复。市值19.96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风险源维度：S2股权质押、A3扣非净利润、D1现金流、B2审计意见、F2重组纾困、H1司法风险。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跟读报告｜ST金顶（600678）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