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*ST帅电</w:t>
        <w:br/>
        <w:t>605336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31 名 ｜ 摸鱼指数 58.5 ｜ V2保壳分 62 ｜ B级 ｜ 全榜第 36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11.18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民企(法人)（商若云,邵贤庆,邵于佶）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实控人性质(3/12)、A2 扣非主营收入(3/12)、A3 扣非净利润(0/6)、D1 现金流(0/4)、F2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*ST帅电（605336）当前V2保壳评分 62 分（B级），全榜第 36 名。安全垫维度：C1面值距离、S2股权质押、A1净资产、B1立案/造假、B2审计意见、H1司法风险。实控人为民企(法人)（商若云,邵贤庆,邵于佶），无国资兜底，保壳依赖自身资源与外部资本博弈。已有出售资产/债务豁免等保壳动作，但尚未形成重组级信号。市值20.51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无质押；营收缺口34%且已戴*ST；出售资产/债务豁免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风险源维度：S1实控人性质、A2扣非主营收入、A3扣非净利润、D1现金流、F2重组纾困、F1财务趋势。 营收未达标且扣非亏损，已触及「营收&lt;红线+亏损」财务类退市红线组合。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跟读报告｜*ST帅电（605336）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