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*ST和科</w:t>
        <w:br/>
        <w:t>002816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34 名 ｜ 摸鱼指数 58.0 ｜ V2保壳分 65 ｜ B级 ｜ 全榜第 27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25.07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25.07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市县国资（阜阳市颍泉区人民政府国有资产监督管理委员会）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面值距离(6/6)、A3 扣非净利润(6/6)、B1 立案/造假(10/10)、B2 审计意见(12/12)、F1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股权质押(0/6)、A2 扣非主营收入(3/12)、D1 现金流(2/4)、F2 重组纾困(2/6)、H1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*ST和科（002816）当前V2保壳评分 65 分（B级），全榜第 27 名。安全垫维度：C1面值距离、A3扣非净利润、B1立案/造假、B2审计意见、F1财务趋势。实控人为市县国资（阜阳市颍泉区人民政府国有资产监督管理委员会），地方国资具备一定信用背书与资源协调能力。已有出售资产/债务豁免等保壳动作，但尚未形成重组级信号。市值25.07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股份冻结；营收缺口15%且已戴*ST；低毛利收入占49%（冲量嫌疑）；扣非盈利；出售资产/债务豁免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风险源维度：S2股权质押、A2扣非主营收入、D1现金流、F2重组纾困、H1司法风险。 扣非主营收入未达标（主板&lt;3亿/双创&lt;1亿），需警惕年报后财务类退市风险。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跟读报告｜*ST和科（002816）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