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*ST美芝</w:t>
        <w:br/>
        <w:t>002856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36 名 ｜ 摸鱼指数 57.5 ｜ V2保壳分 62 ｜ B级 ｜ 全榜第 35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62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第35名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57.5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22.77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16.83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市县国资（佛山市南海区国有资产监督管理局）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市县国资实控，有地方国资信用兜底与资源协调能力。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营收接近达标但含金量打折（如低毛利冲量被模型识别）。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带强调事项段的无保留意见，审计面基本干净但有提示事项。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8/12。市县国资实控，有地方国资信用兜底与资源协调能力。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0/10。归母净资产为负（资不抵债），触及财务类退市红线。</w:t>
      </w:r>
    </w:p>
    <w:p>
      <w:r>
        <w:rPr>
          <w:b w:val="0"/>
        </w:rPr>
        <w:t>【A2 扣非主营收入】得分 9/12。营收接近达标但含金量打折（如低毛利冲量被模型识别）。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9/12。带强调事项段的无保留意见，审计面基本干净但有提示事项。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面值距离(6/6)、S2 股权质押(6/6)、B1 立案/造假(10/10)、H1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C2 壳价值锚定(6/8)、S1 实控人性质(8/12)、A2 扣非主营收入(9/12)、B2 审计意见(9/12)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A1 净资产(0/10)、A3 扣非净利润(0/6)、D1 现金流(0/4)、F2 重组纾困(2/6)、F1 财务趋势(2/4)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*ST美芝（002856）当前V2保壳评分 62 分（B级），全榜第 35 名。安全垫维度：C1面值距离、S2股权质押、B1立案/造假、H1司法风险。实控人为市县国资（佛山市南海区国有资产监督管理局），地方国资具备一定信用背书与资源协调能力。已有出售资产/债务豁免等保壳动作，但尚未形成重组级信号。市值22.77亿，处于基准壳费线5~8折折价区，并购成本有吸引力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无质押；资不抵债；低毛利收入占60%（冲量嫌疑）；带强调事项；出售资产/债务豁免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风险源维度：A1净资产、A3扣非净利润、D1现金流、F2重组纾困、F1财务趋势。 经营现金流为负，资金链压力较大。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跟读报告｜*ST美芝（002856）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