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*ST湘邮</w:t>
        <w:br/>
        <w:t>600476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39 名 ｜ 摸鱼指数 57.5 ｜ V2保壳分 55 ｜ B级 ｜ 全榜第 78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民企(法人)（中国邮政集团有限公司）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股权质押(6/6)、D1 现金流(4/4)、H1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实控人性质(3/12)、A1 净资产(0/10)、A3 扣非净利润(0/6)、B1 立案/造假(4/10)、F2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*ST湘邮（600476）当前V2保壳评分 55 分（B级），全榜第 78 名。安全垫维度：C1面值距离、C2壳价值锚定、S2股权质押、D1现金流、H1司法风险。实控人为民企(法人)（中国邮政集团有限公司），无国资兜底，保壳依赖自身资源与外部资本博弈。暂无重组/纾困信号，保壳主要依赖自身经营修复。市值15.54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市值≤壳基准5折(并购机会区)；无质押；资不抵债；低毛利收入占46%（冲量嫌疑）；立案调查中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风险源维度：S1实控人性质、A1净资产、A3扣非净利润、B1立案/造假、F2重组纾困、F1财务趋势。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跟读报告｜*ST湘邮（600476）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