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*ST数源</w:t>
        <w:br/>
        <w:t>000909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43 名 ｜ 摸鱼指数 57.0 ｜ V2保壳分 59 ｜ B级 ｜ 全榜第 54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第54名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57.0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19.65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4.49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市县国资（杭州市人民政府）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市县国资实控，有地方国资信用兜底与资源协调能力。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营收低于红线但缺口可控。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8/12。市县国资实控，有地方国资信用兜底与资源协调能力。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8/10。归母净资产充裕，无资不抵债风险，财务退市线安全。</w:t>
      </w:r>
    </w:p>
    <w:p>
      <w:r>
        <w:rPr>
          <w:b w:val="0"/>
        </w:rPr>
        <w:t>【A2 扣非主营收入】得分 6/12。营收低于红线但缺口可控。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4/10。重大违法处罚落地（立案→处罚全链条），触发封顶（总分≤30）。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面值距离(5/6)、S2 股权质押(6/6)、A1 净资产(8/10)、D1 现金流(4/4)、H1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壳价值锚定(6/8)、S1 实控人性质(8/12)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A2 扣非主营收入(6/12)、A3 扣非净利润(0/6)、B1 立案/造假(4/10)、B2 审计意见(6/12)、F2 重组纾困(0/6)、F1 财务趋势(2/4)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*ST数源（000909）当前V2保壳评分 59 分（B级），全榜第 54 名。安全垫维度：C1面值距离、S2股权质押、A1净资产、D1现金流、H1司法风险。实控人为市县国资（杭州市人民政府），地方国资具备一定信用背书与资源协调能力。暂无重组/纾困信号，保壳主要依赖自身经营修复。市值19.65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无质押；营收缺口12%且已戴*ST；立案调查中；保留意见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风险源维度：A2扣非主营收入、A3扣非净利润、B1立案/造假、B2审计意见、F2重组纾困、F1财务趋势。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跟读报告｜*ST数源（000909）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