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*ST长投</w:t>
        <w:br/>
        <w:t>600119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44 名 ｜ 摸鱼指数 56.5 ｜ V2保壳分 56 ｜ B级 ｜ 全榜第 74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市县国资（上海市国有资产监督管理委员会）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壳价值锚定(6/8)、S1 实控人性质(8/12)、A1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扣非主营收入(0/12)、A3 扣非净利润(0/6)、D1 现金流(2/4)、B2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*ST长投（600119）当前V2保壳评分 56 分（B级），全榜第 74 名。安全垫维度：C1面值距离、S2股权质押、B1立案/造假、H1司法风险。实控人为市县国资（上海市国有资产监督管理委员会），地方国资具备一定信用背书与资源协调能力。暂无重组/纾困信号，保壳主要依赖自身经营修复。市值18.56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无质押；营收缺口32%且已戴*ST；低毛利收入占51%（冲量嫌疑）；保留意见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风险源维度：A2扣非主营收入、A3扣非净利润、D1现金流、B2审计意见、F2重组纾困、F1财务趋势。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跟读报告｜*ST长投（600119）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