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*ST新元</w:t>
        <w:br/>
        <w:t>300472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47 名 ｜ 摸鱼指数 55.0 ｜ V2保壳分 54 ｜ B级 ｜ 全榜第 85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第85名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55.0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19.35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7.03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民企(法人)（曾维斌,姜承法,朱业胜）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带强调事项段的无保留意见，审计面基本干净但有提示事项。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9/12。带强调事项段的无保留意见，审计面基本干净但有提示事项。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面值距离(6/6)、A2 扣非主营收入(12/12)、F1 财务趋势(4/4)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壳价值锚定(6/8)、B1 立案/造假(7/10)、B2 审计意见(9/12)、F2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实控人性质(3/12)、S2 股权质押(0/6)、A1 净资产(3/10)、A3 扣非净利润(0/6)、D1 现金流(0/4)、H1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*ST新元（300472）当前V2保壳评分 54 分（B级），全榜第 85 名。安全垫维度：C1面值距离、A2扣非主营收入、F1财务趋势。实控人为民企(法人)（曾维斌,姜承法,朱业胜），无国资兜底，保壳依赖自身资源与外部资本博弈。重组/预重整正在推进，保壳有实质抓手。市值19.35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股份冻结；有立案历史(已结)；带强调事项；申请/预重整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风险源维度：S1实控人性质、S2股权质押、A1净资产、A3扣非净利润、D1现金流、H1司法风险。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跟读报告｜*ST新元（300472）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