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*ST步森</w:t>
        <w:br/>
        <w:t>002569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48 名 ｜ 摸鱼指数 55.0 ｜ V2保壳分 51 ｜ B级 ｜ 全榜第 97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16.24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11.28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民企(个人)（王波）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壳价值锚定(8/8)、A3 扣非净利润(6/6)、B1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B2 审计意见(9/12)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净资产(3/10)、A2 扣非主营收入(0/12)、D1 现金流(2/4)、F2 重组纾困(2/6)、F1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*ST步森（002569）当前V2保壳评分 51 分（B级），全榜第 97 名。安全垫维度：C1面值距离、C2壳价值锚定、A3扣非净利润、B1立案/造假。实控人为民企(个人)（王波），无国资兜底，保壳依赖自身资源与外部资本博弈。已有出售资产/债务豁免等保壳动作，但尚未形成重组级信号。市值16.24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市值≤壳基准5折(并购机会区)；股份冻结；营收缺口56%且已戴*ST；扣非盈利；带强调事项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风险源维度：S1实控人性质、S2股权质押、A1净资产、A2扣非主营收入、D1现金流、F2重组纾困、F1财务趋势、H1司法风险。 扣非主营收入未达标（主板&lt;3亿/双创&lt;1亿），需警惕年报后财务类退市风险。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跟读报告｜*ST步森（002569）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