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*ST皇庭B</w:t>
        <w:br/>
        <w:t>200056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49 名 ｜ 摸鱼指数 54.8 ｜ V2保壳分 50 ｜ C级 ｜ 全榜第 122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第122名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6.03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民企(个人)（郑康豪）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B股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0/6。现价已跌破或濒临1元面值线，面值退市风险极端。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1/4。经营现金流为负，资金链压力大。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股权质押(6/6)、A2 扣非主营收入(12/12)、B1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面值距离(0/6)、C2 壳价值锚定(2/8)、S1 实控人性质(3/12)、A1 净资产(3/10)、A3 扣非净利润(0/6)、D1 现金流(1/4)、F2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*ST皇庭B（200056）当前V2保壳评分 50 分（C级），全榜第 122 名。安全垫维度：S2股权质押、A2扣非主营收入、B1立案/造假、B2审计意见、H1司法风险。实控人为民企(个人)（郑康豪），无国资兜底，保壳依赖自身资源与外部资本博弈。暂无重组/纾困信号，保壳主要依赖自身经营修复。市值6.03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面值退市警戒；市值≤壳基准5折(并购机会区)；面值危机压制壳价值分；无质押；（B股）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风险源维度：C1面值距离、C2壳价值锚定、S1实控人性质、A1净资产、A3扣非净利润、D1现金流、F2重组纾困、F1财务趋势。 股价贴近或跌破1元面值线（C1≤1），面值退市危机显著。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跟读报告｜*ST皇庭B（200056）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