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ST海钦</w:t>
        <w:br/>
        <w:t>600753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59 名 ｜ 摸鱼指数 53.0 ｜ V2保壳分 54 ｜ B级 ｜ 全榜第 87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10.28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民企(个人)（钟仁海）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面值距离(6/6)、A3 扣非净利润(6/6)、F1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壳价值锚定(6/8)、A2 扣非主营收入(9/12)、B1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净资产(3/10)、D1 现金流(2/4)、B2 审计意见(6/12)、F2 重组纾困(2/6)、H1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ST海钦（600753）当前V2保壳评分 54 分（B级），全榜第 87 名。安全垫维度：C1面值距离、A3扣非净利润、F1财务趋势。实控人为民企(个人)（钟仁海），无国资兜底，保壳依赖自身资源与外部资本博弈。已有出售资产/债务豁免等保壳动作，但尚未形成重组级信号。市值23.68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股份冻结；低毛利收入占36%（冲量嫌疑）；扣非盈利；行政处罚落地(一般)；保留意见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风险源维度：S1实控人性质、S2股权质押、A1净资产、D1现金流、B2审计意见、F2重组纾困、H1司法风险。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跟读报告｜ST海钦（600753）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