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ST华扬</w:t>
        <w:br/>
        <w:t>603825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60 名 ｜ 摸鱼指数 53.0 ｜ V2保壳分 52 ｜ B级 ｜ 全榜第 94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第94名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53.0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21.48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8.48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市县国资（长沙市人民政府国有资产监督管理委员会）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壳价值锚定(6/8)、S1 实控人性质(8/12)、B1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股权质押(0/6)、A1 净资产(0/10)、A3 扣非净利润(3/6)、D1 现金流(0/4)、B2 审计意见(6/12)、F2 重组纾困(0/6)、H1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ST华扬（603825）当前V2保壳评分 52 分（B级），全榜第 94 名。安全垫维度：C1面值距离、A2扣非主营收入、F1财务趋势。实控人为市县国资（长沙市人民政府国有资产监督管理委员会），地方国资具备一定信用背书与资源协调能力。暂无重组/纾困信号，保壳主要依赖自身经营修复。市值21.48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股份冻结；资不抵债；行政处罚落地(一般)；董监高个人被立案/处罚；保留意见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风险源维度：S2股权质押、A1净资产、A3扣非净利润、D1现金流、B2审计意见、F2重组纾困、H1司法风险。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跟读报告｜ST华扬（603825）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