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ST龙元</w:t>
        <w:br/>
        <w:t>600491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65 名 ｜ 摸鱼指数 52.5 ｜ V2保壳分 55 ｜ B级 ｜ 全榜第 77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25.70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1.68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民企(个人)（赖振元）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A1 净资产(10/10)、D1 现金流(4/4)、B1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壳价值锚定(4/8)、S1 实控人性质(3/12)、S2 股权质押(0/6)、A3 扣非净利润(3/6)、B2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ST龙元（600491）当前V2保壳评分 55 分（B级），全榜第 77 名。安全垫维度：A1净资产、D1现金流、B1立案/造假。实控人为民企(个人)（赖振元），无国资兜底，保壳依赖自身资源与外部资本博弈。重组/预重整正在推进，保壳有实质抓手。市值25.70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股份冻结；低毛利收入占34%（冲量嫌疑）；保留意见；申请/预重整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风险源维度：C1面值距离、C2壳价值锚定、S1实控人性质、S2股权质押、A3扣非净利润、B2审计意见、F1财务趋势、H1司法风险。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跟读报告｜ST龙元（600491）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