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ST复华</w:t>
        <w:br/>
        <w:t>600624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69 名 ｜ 摸鱼指数 52.0 ｜ V2保壳分 57 ｜ B级 ｜ 全榜第 67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第67名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29.82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4.39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市县国资（上海市奉贤区国有资产监督管理委员会）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面值距离(5/6)、A2 扣非主营收入(12/12)、B2 审计意见(12/12)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S1 实控人性质(8/12)、A1 净资产(6/10)、B1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壳价值锚定(4/8)、S2 股权质押(0/6)、A3 扣非净利润(3/6)、D1 现金流(0/4)、F2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ST复华（600624）当前V2保壳评分 57 分（B级），全榜第 67 名。安全垫维度：C1面值距离、A2扣非主营收入、B2审计意见。实控人为市县国资（上海市奉贤区国有资产监督管理委员会），地方国资具备一定信用背书与资源协调能力。暂无重组/纾困信号，保壳主要依赖自身经营修复。市值29.82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股份冻结；行政处罚落地(一般)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风险源维度：C2壳价值锚定、S2股权质押、A3扣非净利润、D1现金流、F2重组纾困、F1财务趋势、H1司法风险。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跟读报告｜ST复华（600624）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