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*ST未名</w:t>
        <w:br/>
        <w:t>002581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74 名 ｜ 摸鱼指数 51.0 ｜ V2保壳分 58 ｜ B级 ｜ 全榜第 61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第61名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51.0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34.44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5.22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民企(个人)（刘祥）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6/12。营收低于红线但缺口可控。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净资产(10/10)、B1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实控人性质(3/12)、A2 扣非主营收入(6/12)、A3 扣非净利润(0/6)、D1 现金流(0/4)、F2 重组纾困(0/6)、F1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*ST未名（002581）当前V2保壳评分 58 分（B级），全榜第 61 名。安全垫维度：C1面值距离、S2股权质押、A1净资产、B1立案/造假、H1司法风险。实控人为民企(个人)（刘祥），无国资兜底，保壳依赖自身资源与外部资本博弈。暂无重组/纾困信号，保壳主要依赖自身经营修复。市值34.44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营收缺口8%且已戴*ST；带强调事项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风险源维度：C2壳价值锚定、S1实控人性质、A2扣非主营收入、A3扣非净利润、D1现金流、F2重组纾困、F1财务趋势。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跟读报告｜*ST未名（002581）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