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*ST九鼎</w:t>
        <w:br/>
        <w:t>600053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75 名 ｜ 摸鱼指数 51.0 ｜ V2保壳分 57 ｜ B级 ｜ 全榜第 65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第65名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51.0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33.60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7.75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民企(法人)（蔡蕾,黄晓捷,覃正宇,吴刚,吴强）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2/6。高质押或冻结，控制权不稳风险突出。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6/12。营收低于红线但缺口可控。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面值距离(6/6)、A1 净资产(10/10)、B1 立案/造假(10/10)、B2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实控人性质(3/12)、S2 股权质押(2/6)、A2 扣非主营收入(6/12)、A3 扣非净利润(0/6)、D1 现金流(0/4)、F2 重组纾困(0/6)、F1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*ST九鼎（600053）当前V2保壳评分 57 分（B级），全榜第 65 名。安全垫维度：C1面值距离、A1净资产、B1立案/造假、B2审计意见、H1司法风险。实控人为民企(法人)（蔡蕾,黄晓捷,覃正宇,吴刚,吴强），无国资兜底，保壳依赖自身资源与外部资本博弈。暂无重组/纾困信号，保壳主要依赖自身经营修复。市值33.60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高质押60%；营收缺口8%且已戴*ST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风险源维度：C2壳价值锚定、S1实控人性质、S2股权质押、A2扣非主营收入、A3扣非净利润、D1现金流、F2重组纾困、F1财务趋势。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跟读报告｜*ST九鼎（600053）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