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*ST田野</w:t>
        <w:br/>
        <w:t>920023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76 名 ｜ 摸鱼指数 0.0 ｜ V2保壳分 55 ｜ B级 ｜ 全榜第 76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55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第76名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0.0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0.00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民企(法人)（姚久壮,姚玖志）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北交所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现价在3~8元区间，距面值退市线安全边际较大，面值通道无威胁。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市值接近壳基准，平价区，壳价值中性。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无质押/质押比例极低，控制权稳固，无平仓扰动。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净资产薄/资不抵债边缘，财务类退市风险显著。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扣非净利润为正，主业造血正常，盈利面无退市压力。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存在一般档行政处罚落地（无立案链条）或子公司被罚，非重大违法档。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保留意见，审计瑕疵存在，需消除后才能摘帽。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无重组/纾困信号，保壳依赖自身经营。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趋势转弱/恶化，经营下行。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存在一定司法风险信号。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5/6。现价在3~8元区间，距面值退市线安全边际较大，面值通道无威胁。</w:t>
      </w:r>
    </w:p>
    <w:p>
      <w:r>
        <w:rPr>
          <w:b w:val="0"/>
        </w:rPr>
        <w:t>【C2 壳价值锚定】得分 4/8。市值接近壳基准，平价区，壳价值中性。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6/6。无质押/质押比例极低，控制权稳固，无平仓扰动。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3/10。净资产薄/资不抵债边缘，财务类退市风险显著。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6/6。扣非净利润为正，主业造血正常，盈利面无退市压力。</w:t>
      </w:r>
    </w:p>
    <w:p>
      <w:r>
        <w:rPr>
          <w:b w:val="0"/>
        </w:rPr>
        <w:t>【D1 现金流】得分 1/4。经营现金流为负，资金链压力大。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7/10。存在一般档行政处罚落地（无立案链条）或子公司被罚，非重大违法档。</w:t>
      </w:r>
    </w:p>
    <w:p>
      <w:r>
        <w:rPr>
          <w:b w:val="0"/>
        </w:rPr>
        <w:t>【B2 审计意见】得分 6/12。保留意见，审计瑕疵存在，需消除后才能摘帽。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0/6。无重组/纾困信号，保壳依赖自身经营。</w:t>
      </w:r>
    </w:p>
    <w:p>
      <w:r>
        <w:rPr>
          <w:b w:val="0"/>
        </w:rPr>
        <w:t>【F1 财务趋势】得分 0/4。趋势转弱/恶化，经营下行。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2/4。存在一定司法风险信号。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面值距离(5/6)、S2 股权质押(6/6)、A2 扣非主营收入(12/12)、A3 扣非净利润(6/6)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B1 立案/造假(7/10)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C2 壳价值锚定(4/8)、S1 实控人性质(3/12)、A1 净资产(3/10)、D1 现金流(1/4)、B2 审计意见(6/12)、F2 重组纾困(0/6)、F1 财务趋势(0/4)、H1 司法风险(2/4)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*ST田野（920023）当前V2保壳评分 55 分（B级），全榜第 76 名。安全垫维度：C1面值距离、S2股权质押、A2扣非主营收入、A3扣非净利润。实控人为民企(法人)（姚久壮,姚玖志），无国资兜底，保壳依赖自身资源与外部资本博弈。暂无重组/纾困信号，保壳主要依赖自身经营修复。市值数据缺失，未纳入摸鱼池，壳价值维度暂不评估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北交所数据降级；无质押；扣非盈利；董监高个人被立案/处罚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风险源维度：C2壳价值锚定、S1实控人性质、A1净资产、D1现金流、B2审计意见、F2重组纾困、F1财务趋势、H1司法风险。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跟读报告｜*ST田野（920023）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