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*ST中迪</w:t>
        <w:br/>
        <w:t>000609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77 名 ｜ 摸鱼指数 51.0 ｜ V2保壳分 55 ｜ B级 ｜ 全榜第 82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30.08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10.05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民企(法人)（门洪达,张伟）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股权质押(6/6)、D1 现金流(4/4)、B1 立案/造假(10/10)、F1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实控人性质(3/12)、A1 净资产(0/10)、A2 扣非主营收入(3/12)、A3 扣非净利润(0/6)、F2 重组纾困(2/6)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*ST中迪（000609）当前V2保壳评分 55 分（B级），全榜第 82 名。安全垫维度：C1面值距离、S2股权质押、D1现金流、B1立案/造假、F1财务趋势、H1司法风险。实控人为民企(法人)（门洪达,张伟），无国资兜底，保壳依赖自身资源与外部资本博弈。已有出售资产/债务豁免等保壳动作，但尚未形成重组级信号。市值30.08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资不抵债；营收缺口31%且已戴*ST；带强调事项；出售资产/债务豁免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风险源维度：C2壳价值锚定、S1实控人性质、A1净资产、A2扣非主营收入、A3扣非净利润、F2重组纾困。 营收未达标且扣非亏损，已触及「营收&lt;红线+亏损」财务类退市红线组合。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跟读报告｜*ST中迪（000609）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