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*ST尼雅</w:t>
        <w:br/>
        <w:t>600084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82 名 ｜ 摸鱼指数 50.0 ｜ V2保壳分 63 ｜ B级 ｜ 全榜第 34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63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第34名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50.0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48.54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4.32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央企（中国中信集团有限公司）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现价在3~8元区间，距面值退市线安全边际较大，面值通道无威胁。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市值高于壳基准，并购溢价区，壳价值不突出。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国资实控（央企或省级国资委），保壳兜底能力与信用资源为最高档。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质押或冻结存在（历史口径缺失取中性档），控制权有潜在扰动。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营收严重不达标（接近0或微收），财务类退市风险极端。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标准无保留审计意见，审计面干净。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5/6。现价在3~8元区间，距面值退市线安全边际较大，面值通道无威胁。</w:t>
      </w:r>
    </w:p>
    <w:p>
      <w:r>
        <w:rPr>
          <w:b w:val="0"/>
        </w:rPr>
        <w:t>【C2 壳价值锚定】得分 2/8。市值高于壳基准，并购溢价区，壳价值不突出。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10/12。国资实控（央企或省级国资委），保壳兜底能力与信用资源为最高档。</w:t>
      </w:r>
    </w:p>
    <w:p>
      <w:r>
        <w:rPr>
          <w:b w:val="0"/>
        </w:rPr>
        <w:t>【S2 股权质押】得分 4/6。质押或冻结存在（历史口径缺失取中性档），控制权有潜在扰动。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0/12。营收严重不达标（接近0或微收），财务类退市风险极端。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12/12。标准无保留审计意见，审计面干净。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面值距离(5/6)、S1 实控人性质(10/12)、A1 净资产(10/10)、B1 立案/造假(10/10)、B2 审计意见(12/12)、F1 财务趋势(4/4)、H1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S2 股权质押(4/6)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壳价值锚定(2/8)、A2 扣非主营收入(0/12)、A3 扣非净利润(0/6)、D1 现金流(2/4)、F2 重组纾困(0/6)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*ST尼雅（600084）当前V2保壳评分 63 分（B级），全榜第 34 名。安全垫维度：C1面值距离、S1实控人性质、A1净资产、B1立案/造假、B2审计意见、F1财务趋势、H1司法风险。实控人为央企（中国中信集团有限公司），国资信用与资源协调能力构成最强保壳兜底。暂无重组/纾困信号，保壳主要依赖自身经营修复。市值48.54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实控人：中国中信集团有限公司（央企）；营收缺口61%且已戴*ST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风险源维度：C2壳价值锚定、A2扣非主营收入、A3扣非净利润、D1现金流、F2重组纾困。 营收未达标且扣非亏损，已触及「营收&lt;红线+亏损」财务类退市红线组合。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跟读报告｜*ST尼雅（600084）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