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ST信源</w:t>
        <w:br/>
        <w:t>300352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85 名 ｜ 摸鱼指数 49.5 ｜ V2保壳分 57 ｜ B级 ｜ 全榜第 64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第64名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49.5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37.99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2.62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民企(个人)（林皓）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A1 净资产(10/10)、A2 扣非主营收入(12/12)、B1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面值距离(4/6)、B2 审计意见(9/12)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壳价值锚定(2/8)、S1 实控人性质(3/12)、S2 股权质押(0/6)、A3 扣非净利润(3/6)、D1 现金流(2/4)、F2 重组纾困(2/6)、F1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ST信源（300352）当前V2保壳评分 57 分（B级），全榜第 64 名。安全垫维度：A1净资产、A2扣非主营收入、B1立案/造假。实控人为民企(个人)（林皓），无国资兜底，保壳依赖自身资源与外部资本博弈。已有出售资产/债务豁免等保壳动作，但尚未形成重组级信号。市值37.99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股份冻结；带强调事项；出售资产/债务豁免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风险源维度：C2壳价值锚定、S1实控人性质、S2股权质押、A3扣非净利润、D1现金流、F2重组纾困、F1财务趋势、H1司法风险。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跟读报告｜ST信源（300352）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