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ST亚光</w:t>
        <w:br/>
        <w:t>300123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86 名 ｜ 摸鱼指数 49.0 ｜ V2保壳分 60 ｜ B级 ｜ 全榜第 49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第49名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49.0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46.08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4.51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民企(个人)（李跃先）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创业板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现价在3~8元区间，距面值退市线安全边际较大，面值通道无威胁。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5/6。现价在3~8元区间，距面值退市线安全边际较大，面值通道无威胁。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9/12。营收接近达标但含金量打折（如低毛利冲量被模型识别）。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面值距离(5/6)、S2 股权质押(6/6)、A1 净资产(8/10)、B1 立案/造假(10/10)、H1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A2 扣非主营收入(9/12)、F2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壳价值锚定(2/8)、S1 实控人性质(3/12)、A3 扣非净利润(3/6)、D1 现金流(0/4)、B2 审计意见(6/12)、F1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ST亚光（300123）当前V2保壳评分 60 分（B级），全榜第 49 名。安全垫维度：C1面值距离、S2股权质押、A1净资产、B1立案/造假、H1司法风险。实控人为民企(个人)（李跃先），无国资兜底，保壳依赖自身资源与外部资本博弈。重组/预重整正在推进，保壳有实质抓手。市值46.08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低毛利收入占66%（冲量嫌疑）；保留意见；申请/预重整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风险源维度：C2壳价值锚定、S1实控人性质、A3扣非净利润、D1现金流、B2审计意见、F1财务趋势。 经营现金流为负，资金链压力较大。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跟读报告｜ST亚光（300123）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