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ST雪浪</w:t>
        <w:br/>
        <w:t>300385</w:t>
      </w:r>
    </w:p>
    <w:p>
      <w:pPr>
        <w:jc w:val="center"/>
      </w:pPr>
      <w:r>
        <w:rPr>
          <w:color w:val="1A5276"/>
          <w:sz w:val="30"/>
        </w:rPr>
        <w:t>ST摸鱼风云-V2 · 跟读报告（详细版）</w:t>
      </w:r>
    </w:p>
    <w:p>
      <w:pPr>
        <w:jc w:val="center"/>
      </w:pPr>
      <w:r>
        <w:rPr>
          <w:color w:val="666666"/>
          <w:sz w:val="20"/>
        </w:rPr>
        <w:t>摸鱼榜第 88 名 ｜ 摸鱼指数 49.0 ｜ V2保壳分 58 ｜ B级 ｜ 全榜第 60 名</w:t>
        <w:br/>
        <w:t>报告日期：2026年8月31日</w:t>
        <w:br/>
        <w:t>榜单时点：（财务报告期 20251231）</w:t>
        <w:br/>
        <w:t>评分模型：ST保壳评分系统V2（十三维100分制）· 榜单分数 = 报告分数</w:t>
      </w:r>
    </w:p>
    <w:p/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一、报告说明与口径</w:t>
      </w:r>
    </w:p>
    <w:p>
      <w:r>
        <w:rPr>
          <w:b w:val="0"/>
        </w:rPr>
        <w:t>本报告为「ST摸鱼风云」会员跟读个股深度报告，采用 V2 刻度（ST保壳评分系统V2，十三维100分制）。分数越高 = 保壳越容易、退市风险越低。榜单分数与报告分数同源（score_v2.py 单源出分），已用模型单股入口对本标的重跑核验：总分/等级与榜单零偏差，以下明细即模型权威输出。</w:t>
      </w:r>
    </w:p>
    <w:p>
      <w:pPr>
        <w:pStyle w:val="Heading2"/>
      </w:pPr>
      <w:r>
        <w:rPr>
          <w:color w:val="2E749B"/>
        </w:rPr>
        <w:t>1.1 评级标准</w:t>
      </w:r>
    </w:p>
    <w:p>
      <w:r>
        <w:rPr>
          <w:b w:val="0"/>
        </w:rPr>
        <w:t>A级 &gt;70（低风险·退市概率低）｜B级 50~70（中风险·保壳有希望）｜C级 30~50（高风险）｜D级 ≤30（极高风险）</w:t>
      </w:r>
    </w:p>
    <w:p>
      <w:pPr>
        <w:pStyle w:val="Heading2"/>
      </w:pPr>
      <w:r>
        <w:rPr>
          <w:color w:val="2E749B"/>
        </w:rPr>
        <w:t>1.2 关键口径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</w:r>
    </w:p>
    <w:p>
      <w:pPr>
        <w:pStyle w:val="Heading1"/>
      </w:pPr>
      <w:r>
        <w:rPr>
          <w:color w:val="1A5276"/>
        </w:rPr>
        <w:t>二、评分总览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V2保壳分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全榜排名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摸鱼指数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壳便宜分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市值(亿)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现价(元)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实控人属性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板块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58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第60名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49.0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40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42.51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12.76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市县国资（常州市新北区人民政府）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创业板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现价≥8元，距1元面值退市线极远，面值通道完全无威胁。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市值高于壳基准，并购溢价区，壳价值不突出。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市县国资实控，有地方国资信用兜底与资源协调能力。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高质押或冻结，控制权不稳风险突出。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净资产薄/资不抵债边缘，财务类退市风险显著。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微利或微亏，盈利面中性。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现金流接近平衡。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无立案/造假信号，重大违法退市通道安全。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保留意见，审计瑕疵存在，需消除后才能摘帽。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重组/预重整推进中（预重整/重整/重大资产重组），保壳有实质抓手。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趋势平稳，无显著恶化。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实控人冻结/限高/立案，司法风险归零。</w:t>
            </w:r>
          </w:p>
        </w:tc>
      </w:tr>
    </w:tbl>
    <w:p>
      <w:pPr>
        <w:pStyle w:val="Heading1"/>
      </w:pPr>
      <w:r>
        <w:rPr>
          <w:color w:val="1A5276"/>
        </w:rPr>
        <w:t>三、逐维深度解读</w:t>
      </w:r>
    </w:p>
    <w:p>
      <w:pPr>
        <w:pStyle w:val="Heading2"/>
      </w:pPr>
      <w:r>
        <w:rPr>
          <w:color w:val="2E749B"/>
        </w:rPr>
        <w:t>3.1 市场与壳维度</w:t>
      </w:r>
    </w:p>
    <w:p>
      <w:r>
        <w:rPr>
          <w:b w:val="0"/>
        </w:rPr>
        <w:t>【C1 面值距离】得分 6/6。现价≥8元，距1元面值退市线极远，面值通道完全无威胁。</w:t>
      </w:r>
    </w:p>
    <w:p>
      <w:r>
        <w:rPr>
          <w:b w:val="0"/>
        </w:rPr>
        <w:t>【C2 壳价值锚定】得分 2/8。市值高于壳基准，并购溢价区，壳价值不突出。</w:t>
      </w:r>
    </w:p>
    <w:p>
      <w:pPr>
        <w:pStyle w:val="Heading2"/>
      </w:pPr>
      <w:r>
        <w:rPr>
          <w:color w:val="2E749B"/>
        </w:rPr>
        <w:t>3.2 实控人与股权维度</w:t>
      </w:r>
    </w:p>
    <w:p>
      <w:r>
        <w:rPr>
          <w:b w:val="0"/>
        </w:rPr>
        <w:t>【S1 实控人性质】得分 8/12。市县国资实控，有地方国资信用兜底与资源协调能力。</w:t>
      </w:r>
    </w:p>
    <w:p>
      <w:r>
        <w:rPr>
          <w:b w:val="0"/>
        </w:rPr>
        <w:t>【S2 股权质押】得分 0/6。高质押或冻结，控制权不稳风险突出。</w:t>
      </w:r>
    </w:p>
    <w:p>
      <w:pPr>
        <w:pStyle w:val="Heading2"/>
      </w:pPr>
      <w:r>
        <w:rPr>
          <w:color w:val="2E749B"/>
        </w:rPr>
        <w:t>3.3 财务健康维度</w:t>
      </w:r>
    </w:p>
    <w:p>
      <w:r>
        <w:rPr>
          <w:b w:val="0"/>
        </w:rPr>
        <w:t>【A1 净资产】得分 3/10。净资产薄/资不抵债边缘，财务类退市风险显著。</w:t>
      </w:r>
    </w:p>
    <w:p>
      <w:r>
        <w:rPr>
          <w:b w:val="0"/>
        </w:rPr>
        <w:t>【A2 扣非主营收入】得分 12/12。营收达标（主板≥3亿/双创≥1亿），财务类退市红线安全。</w:t>
      </w:r>
    </w:p>
    <w:p>
      <w:r>
        <w:rPr>
          <w:b w:val="0"/>
        </w:rPr>
        <w:t>【A3 扣非净利润】得分 3/6。微利或微亏，盈利面中性。</w:t>
      </w:r>
    </w:p>
    <w:p>
      <w:r>
        <w:rPr>
          <w:b w:val="0"/>
        </w:rPr>
        <w:t>【D1 现金流】得分 2/4。现金流接近平衡。</w:t>
      </w:r>
    </w:p>
    <w:p>
      <w:pPr>
        <w:pStyle w:val="Heading2"/>
      </w:pPr>
      <w:r>
        <w:rPr>
          <w:color w:val="2E749B"/>
        </w:rPr>
        <w:t>3.4 规范与违法维度</w:t>
      </w:r>
    </w:p>
    <w:p>
      <w:r>
        <w:rPr>
          <w:b w:val="0"/>
        </w:rPr>
        <w:t>【B1 立案/造假】得分 10/10。无立案/造假信号，重大违法退市通道安全。</w:t>
      </w:r>
    </w:p>
    <w:p>
      <w:r>
        <w:rPr>
          <w:b w:val="0"/>
        </w:rPr>
        <w:t>【B2 审计意见】得分 6/12。保留意见，审计瑕疵存在，需消除后才能摘帽。</w:t>
      </w:r>
    </w:p>
    <w:p>
      <w:pPr>
        <w:pStyle w:val="Heading2"/>
      </w:pPr>
      <w:r>
        <w:rPr>
          <w:color w:val="2E749B"/>
        </w:rPr>
        <w:t>3.5 重组与趋势维度</w:t>
      </w:r>
    </w:p>
    <w:p>
      <w:r>
        <w:rPr>
          <w:b w:val="0"/>
        </w:rPr>
        <w:t>【F2 重组纾困】得分 4/6。重组/预重整推进中（预重整/重整/重大资产重组），保壳有实质抓手。</w:t>
      </w:r>
    </w:p>
    <w:p>
      <w:r>
        <w:rPr>
          <w:b w:val="0"/>
        </w:rPr>
        <w:t>【F1 财务趋势】得分 2/4。趋势平稳，无显著恶化。</w:t>
      </w:r>
    </w:p>
    <w:p>
      <w:pPr>
        <w:pStyle w:val="Heading2"/>
      </w:pPr>
      <w:r>
        <w:rPr>
          <w:color w:val="2E749B"/>
        </w:rPr>
        <w:t>3.6 司法风险维度</w:t>
      </w:r>
    </w:p>
    <w:p>
      <w:r>
        <w:rPr>
          <w:b w:val="0"/>
        </w:rPr>
        <w:t>【H1 司法风险】得分 0/4。实控人冻结/限高/立案，司法风险归零。</w:t>
      </w:r>
    </w:p>
    <w:p>
      <w:pPr>
        <w:pStyle w:val="Heading1"/>
      </w:pPr>
      <w:r>
        <w:rPr>
          <w:color w:val="1A5276"/>
        </w:rPr>
        <w:t>四、维度画像：安全垫 vs 风险源</w:t>
      </w:r>
    </w:p>
    <w:p>
      <w:r>
        <w:rPr>
          <w:b w:val="0"/>
        </w:rPr>
        <w:t>将13维按得分分为三档：安全垫（≥满分80%）、观察项（中间档）、风险源（≤满分50%）。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分类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维度（得分/满分）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✅ 安全垫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C1 面值距离(6/6)、A2 扣非主营收入(12/12)、B1 立案/造假(10/10)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👀 观察项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S1 实控人性质(8/12)、F2 重组纾困(4/6)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⚠️ 风险源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C2 壳价值锚定(2/8)、S2 股权质押(0/6)、A1 净资产(3/10)、A3 扣非净利润(3/6)、D1 现金流(2/4)、B2 审计意见(6/12)、F1 财务趋势(2/4)、H1 司法风险(0/4)</w:t>
            </w:r>
          </w:p>
        </w:tc>
      </w:tr>
    </w:tbl>
    <w:p>
      <w:pPr>
        <w:pStyle w:val="Heading1"/>
      </w:pPr>
      <w:r>
        <w:rPr>
          <w:color w:val="1A5276"/>
        </w:rPr>
        <w:t>五、保壳逻辑（模型解读）</w:t>
      </w:r>
    </w:p>
    <w:p>
      <w:r>
        <w:rPr>
          <w:b w:val="0"/>
        </w:rPr>
        <w:t>ST雪浪（300385）当前V2保壳评分 58 分（B级），全榜第 60 名。安全垫维度：C1面值距离、A2扣非主营收入、B1立案/造假。实控人为市县国资（常州市新北区人民政府），地方国资具备一定信用背书与资源协调能力。重组/预重整正在推进，保壳有实质抓手。市值42.51亿，高于基准壳费线，壳价不占优。</w:t>
      </w:r>
    </w:p>
    <w:p>
      <w:pPr>
        <w:pStyle w:val="Heading2"/>
      </w:pPr>
      <w:r>
        <w:rPr>
          <w:color w:val="2E749B"/>
        </w:rPr>
        <w:t>5.1 模型flags</w:t>
      </w:r>
    </w:p>
    <w:p>
      <w:r>
        <w:rPr>
          <w:b w:val="0"/>
          <w:sz w:val="18"/>
        </w:rPr>
        <w:t>股份冻结；保留意见；申请/预重整</w:t>
      </w:r>
    </w:p>
    <w:p>
      <w:pPr>
        <w:pStyle w:val="Heading1"/>
      </w:pPr>
      <w:r>
        <w:rPr>
          <w:color w:val="1A5276"/>
        </w:rPr>
        <w:t>六、风险点清单</w:t>
      </w:r>
    </w:p>
    <w:p>
      <w:r>
        <w:rPr>
          <w:b/>
        </w:rPr>
        <w:t>风险源维度：C2壳价值锚定、S2股权质押、A1净资产、A3扣非净利润、D1现金流、B2审计意见、F1财务趋势、H1司法风险。 高质押或冻结，控制权稳定性风险突出。 实控人存在冻结/限高/立案，司法风险归零。</w:t>
      </w:r>
    </w:p>
    <w:p>
      <w:r>
        <w:rPr>
          <w:b w:val="0"/>
        </w:rPr>
        <w:t>结合维度画像，风险源集中在上表「⚠️ 风险源」列，需逐项跟踪对应公告信号（立案/审计/质押/司法/营收红线）。</w:t>
      </w:r>
    </w:p>
    <w:p>
      <w:pPr>
        <w:pStyle w:val="Heading1"/>
      </w:pPr>
      <w:r>
        <w:rPr>
          <w:color w:val="1A5276"/>
        </w:rPr>
        <w:t>七、风险提示与研究局限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跟读报告｜ST雪浪（300385）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