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ST瀚川</w:t>
        <w:br/>
        <w:t>688022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94 名 ｜ 摸鱼指数 46.8 ｜ V2保壳分 50 ｜ C级 ｜ 全榜第 102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民企(个人)（蔡昌蔚）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壳价值锚定(8/8)、A1 净资产(8/10)、A2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扣非净利润(3/6)、D1 现金流(0/4)、B2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ST瀚川（688022）当前V2保壳评分 50 分（C级），全榜第 102 名。安全垫维度：C1面值距离、C2壳价值锚定、A1净资产、A2扣非主营收入、B1立案/造假。实控人为民企(个人)（蔡昌蔚），无国资兜底，保壳依赖自身资源与外部资本博弈。暂无重组/纾困信号，保壳主要依赖自身经营修复。市值15.60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跟读报告｜ST瀚川（688022）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