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ST晨鸣B</w:t>
        <w:br/>
        <w:t>200488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98 名 ｜ 摸鱼指数 46.3 ｜ V2保壳分 50 ｜ C级 ｜ 全榜第 121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16.77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市县国资（寿光市国有资产监督管理局）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B股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0/6。现价已跌破或濒临1元面值线，面值退市风险极端。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股权质押(6/6)、B1 立案/造假(10/10)、B2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实控人性质(8/12)、A2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面值距离(0/6)、C2 壳价值锚定(2/8)、A1 净资产(3/10)、A3 扣非净利润(3/6)、D1 现金流(1/4)、F2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ST晨鸣B（200488）当前V2保壳评分 50 分（C级），全榜第 121 名。安全垫维度：S2股权质押、B1立案/造假、B2审计意见、F1财务趋势、H1司法风险。实控人为市县国资（寿光市国有资产监督管理局），地方国资具备一定信用背书与资源协调能力。暂无重组/纾困信号，保壳主要依赖自身经营修复。市值16.77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面值退市警戒；市值≤壳基准5折(并购机会区)；面值危机压制壳价值分；无质押；低毛利收入占55%（冲量嫌疑）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风险源维度：C1面值距离、C2壳价值锚定、A1净资产、A3扣非净利润、D1现金流、F2重组纾困。 股价贴近或跌破1元面值线（C1≤1），面值退市危机显著。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跟读报告｜ST晨鸣B（200488）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