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*ST华鹏</w:t>
        <w:br/>
        <w:t>603021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103 名 ｜ 摸鱼指数 44.6 ｜ V2保壳分 47 ｜ C级 ｜ 全榜第 130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44.6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17.63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民企(个人)（杨晓宏）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股权质押(0/6)、A1 净资产(0/10)、A3 扣非净利润(0/6)、B2 审计意见(6/12)、F2 重组纾困(0/6)、F1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*ST华鹏（603021）当前V2保壳评分 47 分（C级），全榜第 130 名。安全垫维度：C1面值距离、A2扣非主营收入、D1现金流、B1立案/造假。实控人为民企(个人)（杨晓宏），无国资兜底，保壳依赖自身资源与外部资本博弈。暂无重组/纾困信号，保壳主要依赖自身经营修复。市值17.63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风险源维度：S1实控人性质、S2股权质押、A1净资产、A3扣非净利润、B2审计意见、F2重组纾困、F1财务趋势、H1司法风险。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跟读报告｜*ST华鹏（603021）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