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*ST高科</w:t>
        <w:br/>
        <w:t>600730</w:t>
      </w:r>
    </w:p>
    <w:p>
      <w:pPr>
        <w:jc w:val="center"/>
      </w:pPr>
      <w:r>
        <w:rPr>
          <w:color w:val="1A5276"/>
          <w:sz w:val="30"/>
        </w:rPr>
        <w:t>ST摸鱼风云-V2 · 跟读报告（详细版）</w:t>
      </w:r>
    </w:p>
    <w:p>
      <w:pPr>
        <w:jc w:val="center"/>
      </w:pPr>
      <w:r>
        <w:rPr>
          <w:color w:val="666666"/>
          <w:sz w:val="20"/>
        </w:rPr>
        <w:t>摸鱼榜第 105 名 ｜ 摸鱼指数 44.5 ｜ V2保壳分 56 ｜ B级 ｜ 全榜第 72 名</w:t>
        <w:br/>
        <w:t>报告日期：2026年8月31日</w:t>
        <w:br/>
        <w:t>榜单时点：（财务报告期 20251231）</w:t>
        <w:br/>
        <w:t>评分模型：ST保壳评分系统V2（十三维100分制）· 榜单分数 = 报告分数</w:t>
      </w:r>
    </w:p>
    <w:p/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一、报告说明与口径</w:t>
      </w:r>
    </w:p>
    <w:p>
      <w:r>
        <w:rPr>
          <w:b w:val="0"/>
        </w:rPr>
        <w:t>本报告为「ST摸鱼风云」会员跟读个股深度报告，采用 V2 刻度（ST保壳评分系统V2，十三维100分制）。分数越高 = 保壳越容易、退市风险越低。榜单分数与报告分数同源（score_v2.py 单源出分），已用模型单股入口对本标的重跑核验：总分/等级与榜单零偏差，以下明细即模型权威输出。</w:t>
      </w:r>
    </w:p>
    <w:p>
      <w:pPr>
        <w:pStyle w:val="Heading2"/>
      </w:pPr>
      <w:r>
        <w:rPr>
          <w:color w:val="2E749B"/>
        </w:rPr>
        <w:t>1.1 评级标准</w:t>
      </w:r>
    </w:p>
    <w:p>
      <w:r>
        <w:rPr>
          <w:b w:val="0"/>
        </w:rPr>
        <w:t>A级 &gt;70（低风险·退市概率低）｜B级 50~70（中风险·保壳有希望）｜C级 30~50（高风险）｜D级 ≤30（极高风险）</w:t>
      </w:r>
    </w:p>
    <w:p>
      <w:pPr>
        <w:pStyle w:val="Heading2"/>
      </w:pPr>
      <w:r>
        <w:rPr>
          <w:color w:val="2E749B"/>
        </w:rPr>
        <w:t>1.2 关键口径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</w:r>
    </w:p>
    <w:p>
      <w:pPr>
        <w:pStyle w:val="Heading1"/>
      </w:pPr>
      <w:r>
        <w:rPr>
          <w:color w:val="1A5276"/>
        </w:rPr>
        <w:t>二、评分总览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/>
            <w:r>
              <w:rPr>
                <w:b/>
                <w:sz w:val="18"/>
              </w:rPr>
              <w:t>V2保壳分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等级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全榜排名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摸鱼指数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壳便宜分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市值(亿)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现价(元)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实控人属性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板块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8"/>
              </w:rPr>
              <w:t>56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B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第72名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44.5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33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58.67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10.0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市县国资（曹龙,东阳市人民政府国有资产监督管理办公室,贺怡帆,梁猛,孙维佳）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主板</w:t>
            </w:r>
          </w:p>
        </w:tc>
      </w:tr>
    </w:tbl>
    <w:p>
      <w:r>
        <w:rPr>
          <w:b w:val="0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C1 面值距离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现价≥8元，距1元面值退市线极远，面值通道完全无威胁。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C2 壳价值锚定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市值显著高于壳基准，壳价值无优势。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S1 实控人性质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市县国资实控，有地方国资信用兜底与资源协调能力。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S2 股权质押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无质押/质押比例极低，控制权稳固，无平仓扰动。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归母净资产非常充裕（≥10分档），资不抵债风险极低。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营收严重不达标（接近0或微收），财务类退市风险极端。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扣非持续亏损，主业亏损面承压。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经营现金流为负，资金链压力大。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B1 立案/造假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无立案/造假信号，重大违法退市通道安全。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B2 审计意见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标准无保留审计意见，审计面干净。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F2 重组纾困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无重组/纾困信号，保壳依赖自身经营。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F1 财务趋势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趋势转弱/恶化，经营下行。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H1 司法风险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实控人无冻结/限高/立案，司法面无风险。</w:t>
            </w:r>
          </w:p>
        </w:tc>
      </w:tr>
    </w:tbl>
    <w:p>
      <w:pPr>
        <w:pStyle w:val="Heading1"/>
      </w:pPr>
      <w:r>
        <w:rPr>
          <w:color w:val="1A5276"/>
        </w:rPr>
        <w:t>三、逐维深度解读</w:t>
      </w:r>
    </w:p>
    <w:p>
      <w:pPr>
        <w:pStyle w:val="Heading2"/>
      </w:pPr>
      <w:r>
        <w:rPr>
          <w:color w:val="2E749B"/>
        </w:rPr>
        <w:t>3.1 市场与壳维度</w:t>
      </w:r>
    </w:p>
    <w:p>
      <w:r>
        <w:rPr>
          <w:b w:val="0"/>
        </w:rPr>
        <w:t>【C1 面值距离】得分 6/6。现价≥8元，距1元面值退市线极远，面值通道完全无威胁。</w:t>
      </w:r>
    </w:p>
    <w:p>
      <w:r>
        <w:rPr>
          <w:b w:val="0"/>
        </w:rPr>
        <w:t>【C2 壳价值锚定】得分 0/8。市值显著高于壳基准，壳价值无优势。</w:t>
      </w:r>
    </w:p>
    <w:p>
      <w:pPr>
        <w:pStyle w:val="Heading2"/>
      </w:pPr>
      <w:r>
        <w:rPr>
          <w:color w:val="2E749B"/>
        </w:rPr>
        <w:t>3.2 实控人与股权维度</w:t>
      </w:r>
    </w:p>
    <w:p>
      <w:r>
        <w:rPr>
          <w:b w:val="0"/>
        </w:rPr>
        <w:t>【S1 实控人性质】得分 8/12。市县国资实控，有地方国资信用兜底与资源协调能力。</w:t>
      </w:r>
    </w:p>
    <w:p>
      <w:r>
        <w:rPr>
          <w:b w:val="0"/>
        </w:rPr>
        <w:t>【S2 股权质押】得分 6/6。无质押/质押比例极低，控制权稳固，无平仓扰动。</w:t>
      </w:r>
    </w:p>
    <w:p>
      <w:pPr>
        <w:pStyle w:val="Heading2"/>
      </w:pPr>
      <w:r>
        <w:rPr>
          <w:color w:val="2E749B"/>
        </w:rPr>
        <w:t>3.3 财务健康维度</w:t>
      </w:r>
    </w:p>
    <w:p>
      <w:r>
        <w:rPr>
          <w:b w:val="0"/>
        </w:rPr>
        <w:t>【A1 净资产】得分 10/10。归母净资产非常充裕（≥10分档），资不抵债风险极低。</w:t>
      </w:r>
    </w:p>
    <w:p>
      <w:r>
        <w:rPr>
          <w:b w:val="0"/>
        </w:rPr>
        <w:t>【A2 扣非主营收入】得分 0/12。营收严重不达标（接近0或微收），财务类退市风险极端。</w:t>
      </w:r>
    </w:p>
    <w:p>
      <w:r>
        <w:rPr>
          <w:b w:val="0"/>
        </w:rPr>
        <w:t>【A3 扣非净利润】得分 0/6。扣非持续亏损，主业亏损面承压。</w:t>
      </w:r>
    </w:p>
    <w:p>
      <w:r>
        <w:rPr>
          <w:b w:val="0"/>
        </w:rPr>
        <w:t>【D1 现金流】得分 0/4。经营现金流为负，资金链压力大。</w:t>
      </w:r>
    </w:p>
    <w:p>
      <w:pPr>
        <w:pStyle w:val="Heading2"/>
      </w:pPr>
      <w:r>
        <w:rPr>
          <w:color w:val="2E749B"/>
        </w:rPr>
        <w:t>3.4 规范与违法维度</w:t>
      </w:r>
    </w:p>
    <w:p>
      <w:r>
        <w:rPr>
          <w:b w:val="0"/>
        </w:rPr>
        <w:t>【B1 立案/造假】得分 10/10。无立案/造假信号，重大违法退市通道安全。</w:t>
      </w:r>
    </w:p>
    <w:p>
      <w:r>
        <w:rPr>
          <w:b w:val="0"/>
        </w:rPr>
        <w:t>【B2 审计意见】得分 12/12。标准无保留审计意见，审计面干净。</w:t>
      </w:r>
    </w:p>
    <w:p>
      <w:pPr>
        <w:pStyle w:val="Heading2"/>
      </w:pPr>
      <w:r>
        <w:rPr>
          <w:color w:val="2E749B"/>
        </w:rPr>
        <w:t>3.5 重组与趋势维度</w:t>
      </w:r>
    </w:p>
    <w:p>
      <w:r>
        <w:rPr>
          <w:b w:val="0"/>
        </w:rPr>
        <w:t>【F2 重组纾困】得分 0/6。无重组/纾困信号，保壳依赖自身经营。</w:t>
      </w:r>
    </w:p>
    <w:p>
      <w:r>
        <w:rPr>
          <w:b w:val="0"/>
        </w:rPr>
        <w:t>【F1 财务趋势】得分 0/4。趋势转弱/恶化，经营下行。</w:t>
      </w:r>
    </w:p>
    <w:p>
      <w:pPr>
        <w:pStyle w:val="Heading2"/>
      </w:pPr>
      <w:r>
        <w:rPr>
          <w:color w:val="2E749B"/>
        </w:rPr>
        <w:t>3.6 司法风险维度</w:t>
      </w:r>
    </w:p>
    <w:p>
      <w:r>
        <w:rPr>
          <w:b w:val="0"/>
        </w:rPr>
        <w:t>【H1 司法风险】得分 4/4。实控人无冻结/限高/立案，司法面无风险。</w:t>
      </w:r>
    </w:p>
    <w:p>
      <w:pPr>
        <w:pStyle w:val="Heading1"/>
      </w:pPr>
      <w:r>
        <w:rPr>
          <w:color w:val="1A5276"/>
        </w:rPr>
        <w:t>四、维度画像：安全垫 vs 风险源</w:t>
      </w:r>
    </w:p>
    <w:p>
      <w:r>
        <w:rPr>
          <w:b w:val="0"/>
        </w:rPr>
        <w:t>将13维按得分分为三档：安全垫（≥满分80%）、观察项（中间档）、风险源（≤满分50%）。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分类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维度（得分/满分）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✅ 安全垫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C1 面值距离(6/6)、S2 股权质押(6/6)、A1 净资产(10/10)、B1 立案/造假(10/10)、B2 审计意见(12/12)、H1 司法风险(4/4)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👀 观察项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S1 实控人性质(8/12)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⚠️ 风险源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C2 壳价值锚定(0/8)、A2 扣非主营收入(0/12)、A3 扣非净利润(0/6)、D1 现金流(0/4)、F2 重组纾困(0/6)、F1 财务趋势(0/4)</w:t>
            </w:r>
          </w:p>
        </w:tc>
      </w:tr>
    </w:tbl>
    <w:p>
      <w:pPr>
        <w:pStyle w:val="Heading1"/>
      </w:pPr>
      <w:r>
        <w:rPr>
          <w:color w:val="1A5276"/>
        </w:rPr>
        <w:t>五、保壳逻辑（模型解读）</w:t>
      </w:r>
    </w:p>
    <w:p>
      <w:r>
        <w:rPr>
          <w:b w:val="0"/>
        </w:rPr>
        <w:t>*ST高科（600730）当前V2保壳评分 56 分（B级），全榜第 72 名。安全垫维度：C1面值距离、S2股权质押、A1净资产、B1立案/造假、B2审计意见、H1司法风险。实控人为市县国资（曹龙,东阳市人民政府国有资产监督管理办公室,贺怡帆,梁猛,孙维佳），地方国资具备一定信用背书与资源协调能力。暂无重组/纾困信号，保壳主要依赖自身经营修复。市值58.67亿，高于基准壳费线，壳价不占优。</w:t>
      </w:r>
    </w:p>
    <w:p>
      <w:pPr>
        <w:pStyle w:val="Heading2"/>
      </w:pPr>
      <w:r>
        <w:rPr>
          <w:color w:val="2E749B"/>
        </w:rPr>
        <w:t>5.1 模型flags</w:t>
      </w:r>
    </w:p>
    <w:p>
      <w:r>
        <w:rPr>
          <w:b w:val="0"/>
          <w:sz w:val="18"/>
        </w:rPr>
        <w:t>无质押；营收缺口74%且已戴*ST</w:t>
      </w:r>
    </w:p>
    <w:p>
      <w:pPr>
        <w:pStyle w:val="Heading1"/>
      </w:pPr>
      <w:r>
        <w:rPr>
          <w:color w:val="1A5276"/>
        </w:rPr>
        <w:t>六、风险点清单</w:t>
      </w:r>
    </w:p>
    <w:p>
      <w:r>
        <w:rPr>
          <w:b/>
        </w:rPr>
        <w:t>风险源维度：C2壳价值锚定、A2扣非主营收入、A3扣非净利润、D1现金流、F2重组纾困、F1财务趋势。 营收未达标且扣非亏损，已触及「营收&lt;红线+亏损」财务类退市红线组合。 经营现金流为负，资金链压力较大。</w:t>
      </w:r>
    </w:p>
    <w:p>
      <w:r>
        <w:rPr>
          <w:b w:val="0"/>
        </w:rPr>
        <w:t>结合维度画像，风险源集中在上表「⚠️ 风险源」列，需逐项跟踪对应公告信号（立案/审计/质押/司法/营收红线）。</w:t>
      </w:r>
    </w:p>
    <w:p>
      <w:pPr>
        <w:pStyle w:val="Heading1"/>
      </w:pPr>
      <w:r>
        <w:rPr>
          <w:color w:val="1A5276"/>
        </w:rPr>
        <w:t>七、风险提示与研究局限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跟读报告｜*ST高科（600730）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