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*ST华西</w:t>
        <w:br/>
        <w:t>002630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107 名 ｜ 摸鱼指数 43.8 ｜ V2保壳分 48 ｜ C级 ｜ 全榜第 123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第123名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19.96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民企(个人)（黎仁超）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扣非主营收入(12/12)、D1 现金流(4/4)、B1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面值距离(2/6)、S1 实控人性质(3/12)、S2 股权质押(0/6)、A1 净资产(3/10)、A3 扣非净利润(0/6)、B2 审计意见(6/12)、F2 重组纾困(2/6)、F1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*ST华西（002630）当前V2保壳评分 48 分（C级），全榜第 123 名。安全垫维度：A2扣非主营收入、D1现金流、B1立案/造假。实控人为民企(个人)（黎仁超），无国资兜底，保壳依赖自身资源与外部资本博弈。已有出售资产/债务豁免等保壳动作，但尚未形成重组级信号。市值19.96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风险源维度：C1面值距离、S1实控人性质、S2股权质押、A1净资产、A3扣非净利润、B2审计意见、F2重组纾困、F1财务趋势、H1司法风险。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跟读报告｜*ST华西（002630）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