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ST同德</w:t>
        <w:br/>
        <w:t>002360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112 名 ｜ 摸鱼指数 43.4 ｜ V2保壳分 50 ｜ C级 ｜ 全榜第 110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50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第110名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43.4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23.38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5.82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民企(个人)（张云升）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市值处于壳基准5折~8折折价区，并购成本有吸引力。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归母净资产充裕，无资不抵债风险，财务退市线安全。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存在一般档行政处罚落地（无立案链条）或子公司被罚，非重大违法档。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重组/预重整推进中（预重整/重整/重大资产重组），保壳有实质抓手。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趋势转弱/恶化，经营下行。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6/8。市值处于壳基准5折~8折折价区，并购成本有吸引力。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8/10。归母净资产充裕，无资不抵债风险，财务退市线安全。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3/6。微利或微亏，盈利面中性。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7/10。存在一般档行政处罚落地（无立案链条）或子公司被罚，非重大违法档。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4/6。重组/预重整推进中（预重整/重整/重大资产重组），保壳有实质抓手。</w:t>
      </w:r>
    </w:p>
    <w:p>
      <w:r>
        <w:rPr>
          <w:b w:val="0"/>
        </w:rPr>
        <w:t>【F1 财务趋势】得分 0/4。趋势转弱/恶化，经营下行。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面值距离(6/6)、A1 净资产(8/10)、A2 扣非主营收入(12/12)、D1 现金流(4/4)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C2 壳价值锚定(6/8)、B1 立案/造假(7/10)、F2 重组纾困(4/6)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S1 实控人性质(3/12)、S2 股权质押(0/6)、A3 扣非净利润(3/6)、B2 审计意见(0/12)、F1 财务趋势(0/4)、H1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ST同德（002360）当前V2保壳评分 50 分（C级），全榜第 110 名。安全垫维度：C1面值距离、A1净资产、A2扣非主营收入、D1现金流。实控人为民企(个人)（张云升），无国资兜底，保壳依赖自身资源与外部资本博弈。重组/预重整正在推进，保壳有实质抓手。市值23.38亿，处于基准壳费线5~8折折价区，并购成本有吸引力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股份冻结；行政处罚落地(一般)；无法表示/否定意见；申请/预重整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风险源维度：S1实控人性质、S2股权质押、A3扣非净利润、B2审计意见、F1财务趋势、H1司法风险。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跟读报告｜ST同德（002360）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