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ST金鸿顺</w:t>
        <w:br/>
        <w:t>603922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116 名 ｜ 摸鱼指数 42.9 ｜ V2保壳分 50 ｜ C级 ｜ 全榜第 105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42.9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24.98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13.94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民企(个人)（刘栩）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净资产(8/10)、A2 扣非主营收入(12/12)、A3 扣非净利润(6/6)、F1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股权质押(0/6)、D1 现金流(0/4)、B1 立案/造假(4/10)、B2 审计意见(0/12)、F2 重组纾困(2/6)、H1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ST金鸿顺（603922）当前V2保壳评分 50 分（C级），全榜第 105 名。安全垫维度：C1面值距离、A1净资产、A2扣非主营收入、A3扣非净利润、F1财务趋势。实控人为民企(个人)（刘栩），无国资兜底，保壳依赖自身资源与外部资本博弈。已有出售资产/债务豁免等保壳动作，但尚未形成重组级信号。市值24.98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股份冻结；扣非盈利；立案调查中；董监高个人被立案/处罚；无法表示/否定意见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风险源维度：S1实控人性质、S2股权质押、D1现金流、B1立案/造假、B2审计意见、F2重组纾困、H1司法风险。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跟读报告｜ST金鸿顺（603922）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