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ST金鸿</w:t>
        <w:br/>
        <w:t>000669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117 名 ｜ 摸鱼指数 41.6 ｜ V2保壳分 50 ｜ C级 ｜ 全榜第 117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第117名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41.6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28.99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4.26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民企(个人)（李文浩）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面值距离(5/6)、A2 扣非主营收入(12/12)、D1 现金流(4/4)、B1 立案/造假(10/10)、F1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实控人性质(3/12)、S2 股权质押(0/6)、A1 净资产(3/10)、A3 扣非净利润(3/6)、B2 审计意见(0/12)、H1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ST金鸿（000669）当前V2保壳评分 50 分（C级），全榜第 117 名。安全垫维度：C1面值距离、A2扣非主营收入、D1现金流、B1立案/造假、F1财务趋势。实控人为民企(个人)（李文浩），无国资兜底，保壳依赖自身资源与外部资本博弈。重组/预重整正在推进，保壳有实质抓手。市值28.99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股份冻结；无法表示/否定意见；申请/预重整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风险源维度：C2壳价值锚定、S1实控人性质、S2股权质押、A1净资产、A3扣非净利润、B2审计意见、H1司法风险。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跟读报告｜ST金鸿（000669）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